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CF132" w14:textId="6A95D0E3" w:rsidR="0038258E" w:rsidRPr="008E49FC" w:rsidRDefault="0038258E" w:rsidP="000A58DE">
      <w:pPr>
        <w:spacing w:after="0"/>
        <w:ind w:firstLine="720"/>
      </w:pPr>
      <w:r>
        <w:t xml:space="preserve">How has the growth of broadband access and digital information affected the diffusion of public policies across the US states over time? Over the past two decades </w:t>
      </w:r>
      <w:r w:rsidRPr="00D26EEB">
        <w:t>broadband</w:t>
      </w:r>
      <w:r w:rsidR="000A58DE" w:rsidRPr="00D26EEB">
        <w:t>, or high-speed internet,</w:t>
      </w:r>
      <w:r>
        <w:t xml:space="preserve"> </w:t>
      </w:r>
      <w:r w:rsidRPr="00DA541C">
        <w:t xml:space="preserve">has fundamentally transformed </w:t>
      </w:r>
      <w:r>
        <w:t xml:space="preserve">how information is consumed and </w:t>
      </w:r>
      <w:r w:rsidR="002A76DD">
        <w:t>spreads</w:t>
      </w:r>
      <w:r w:rsidRPr="00DA541C">
        <w:t>. The changes are comparable to the invention of the printing press, telegram, and telephone</w:t>
      </w:r>
      <w:r>
        <w:t xml:space="preserve"> (Chadwick 201</w:t>
      </w:r>
      <w:r w:rsidR="00484869">
        <w:t>7</w:t>
      </w:r>
      <w:r>
        <w:t>; Silver 2015; Shirky 2008)</w:t>
      </w:r>
      <w:r w:rsidRPr="00DA541C">
        <w:t xml:space="preserve">. </w:t>
      </w:r>
      <w:r w:rsidR="002A76DD">
        <w:t>Each of these new technologies transformed society and structurally altered how information flows.</w:t>
      </w:r>
      <w:r w:rsidR="009D307A">
        <w:rPr>
          <w:rFonts w:eastAsia="Times New Roman"/>
          <w:color w:val="000000"/>
        </w:rPr>
        <w:t xml:space="preserve"> </w:t>
      </w:r>
      <w:r w:rsidR="003B652D">
        <w:rPr>
          <w:rFonts w:eastAsia="Times New Roman"/>
          <w:color w:val="000000"/>
        </w:rPr>
        <w:t>F</w:t>
      </w:r>
      <w:r>
        <w:t>ormer OECD chief economist Ignazio Visco</w:t>
      </w:r>
      <w:r w:rsidRPr="00F524D1">
        <w:t xml:space="preserve"> has argued that</w:t>
      </w:r>
      <w:r>
        <w:t xml:space="preserve"> because of broadband</w:t>
      </w:r>
      <w:r w:rsidRPr="00F524D1">
        <w:t xml:space="preserve"> “</w:t>
      </w:r>
      <w:r w:rsidRPr="00214793">
        <w:rPr>
          <w:color w:val="000000"/>
          <w:shd w:val="clear" w:color="auto" w:fill="FFFFFF"/>
        </w:rPr>
        <w:t>The dramatic fall in communication costs […] and the technological breakthroughs behind it, have led to a diffusion of ideas, technological know-how and a general spread of information at a pace that is quite unprecedented in the history of humankind”</w:t>
      </w:r>
      <w:r>
        <w:rPr>
          <w:color w:val="000000"/>
          <w:shd w:val="clear" w:color="auto" w:fill="FFFFFF"/>
        </w:rPr>
        <w:t xml:space="preserve"> (Clark and Thompson, 2012).</w:t>
      </w:r>
      <w:r w:rsidRPr="008E49FC" w:rsidDel="000D61F8">
        <w:rPr>
          <w:rStyle w:val="FootnoteReference"/>
          <w:color w:val="000000"/>
          <w:shd w:val="clear" w:color="auto" w:fill="FFFFFF"/>
        </w:rPr>
        <w:t xml:space="preserve"> </w:t>
      </w:r>
    </w:p>
    <w:p w14:paraId="64B66C57" w14:textId="51D6819E" w:rsidR="0038258E" w:rsidRPr="00DA541C" w:rsidRDefault="0038258E" w:rsidP="000A58DE">
      <w:pPr>
        <w:spacing w:after="0"/>
        <w:ind w:firstLine="720"/>
      </w:pPr>
      <w:r w:rsidRPr="00214793">
        <w:t xml:space="preserve">This study examines how variation in </w:t>
      </w:r>
      <w:r w:rsidR="000A58DE" w:rsidRPr="00D26EEB">
        <w:t>household</w:t>
      </w:r>
      <w:r w:rsidR="000A58DE">
        <w:t xml:space="preserve"> </w:t>
      </w:r>
      <w:r w:rsidRPr="00214793">
        <w:t>broadband subscription rates has influenced</w:t>
      </w:r>
      <w:r w:rsidRPr="00DD611B">
        <w:t xml:space="preserve"> the spread of</w:t>
      </w:r>
      <w:r w:rsidR="00883508">
        <w:t xml:space="preserve"> </w:t>
      </w:r>
      <w:r w:rsidRPr="00DD611B">
        <w:t>polic</w:t>
      </w:r>
      <w:r w:rsidR="00883508">
        <w:t xml:space="preserve">y adoptions </w:t>
      </w:r>
      <w:r w:rsidRPr="00DD611B">
        <w:t>across U</w:t>
      </w:r>
      <w:r w:rsidR="00527A18">
        <w:t>.</w:t>
      </w:r>
      <w:r w:rsidRPr="00DD611B">
        <w:t>S</w:t>
      </w:r>
      <w:r w:rsidR="00527A18">
        <w:t>.</w:t>
      </w:r>
      <w:r w:rsidRPr="00DD611B">
        <w:t xml:space="preserve"> states.</w:t>
      </w:r>
      <w:r w:rsidRPr="00DA541C">
        <w:t xml:space="preserve"> </w:t>
      </w:r>
      <w:r w:rsidR="003B582C">
        <w:t>Information plays a central role in the diffusion of policy solutions, and states with higher rates of broadband subscriptions operate in a more information rich, nationalized environment.</w:t>
      </w:r>
      <w:r>
        <w:t xml:space="preserve"> Measuring broadband subscriptions, or the percent of the population with high speed internet access, provides an indicator of how widespread and inclusive information networks are within states, potentially enriching the flows of informatio</w:t>
      </w:r>
      <w:r w:rsidR="003B582C">
        <w:t>n</w:t>
      </w:r>
      <w:r>
        <w:t xml:space="preserve">. Despite the critical significance of the internet for information and communication, the role of broadband access and use has not </w:t>
      </w:r>
      <w:r w:rsidR="004F7D57" w:rsidRPr="00D26EEB">
        <w:t>previously been</w:t>
      </w:r>
      <w:r w:rsidR="004F7D57">
        <w:t xml:space="preserve"> </w:t>
      </w:r>
      <w:r>
        <w:t>considered in a systematic way to explain the diffusion of policies across the states.</w:t>
      </w:r>
    </w:p>
    <w:p w14:paraId="45672B82" w14:textId="2D3768A9" w:rsidR="0038258E" w:rsidRPr="00DA541C" w:rsidRDefault="0038258E" w:rsidP="0038258E">
      <w:pPr>
        <w:spacing w:after="0"/>
        <w:ind w:firstLine="720"/>
      </w:pPr>
      <w:r>
        <w:t xml:space="preserve">Some diffusion scholars have </w:t>
      </w:r>
      <w:r w:rsidR="003B582C">
        <w:t>documented that states have become more innovative over time</w:t>
      </w:r>
      <w:r>
        <w:t xml:space="preserve"> (Boehmke and Skinner 2012), </w:t>
      </w:r>
      <w:r w:rsidR="003B582C">
        <w:t>with others offering</w:t>
      </w:r>
      <w:r w:rsidR="000F2C8B">
        <w:t xml:space="preserve"> </w:t>
      </w:r>
      <w:r w:rsidR="00907B6E" w:rsidRPr="00D26EEB">
        <w:t xml:space="preserve">digital </w:t>
      </w:r>
      <w:r w:rsidRPr="00D26EEB">
        <w:t>i</w:t>
      </w:r>
      <w:r>
        <w:t xml:space="preserve">nformation and communication technologies </w:t>
      </w:r>
      <w:r w:rsidR="003B582C">
        <w:t>as an explanation for</w:t>
      </w:r>
      <w:r>
        <w:t xml:space="preserve"> this trend because they increase the speed at which information travels (Boushey 2010, 23).  We argue that the growth of </w:t>
      </w:r>
      <w:r w:rsidRPr="00D26EEB">
        <w:t xml:space="preserve">broadband </w:t>
      </w:r>
      <w:r w:rsidR="00907B6E" w:rsidRPr="00D26EEB">
        <w:t xml:space="preserve">access and use </w:t>
      </w:r>
      <w:r w:rsidRPr="00D26EEB">
        <w:lastRenderedPageBreak/>
        <w:t xml:space="preserve">may help explain differences in state innovation as well as other changes such as the decline in the importance of geography in the spread of new policy ideas.  The internet may not only increase the speed at which ideas </w:t>
      </w:r>
      <w:r w:rsidR="009D307A" w:rsidRPr="00D26EEB">
        <w:t>circulate but</w:t>
      </w:r>
      <w:r w:rsidRPr="00D26EEB">
        <w:t xml:space="preserve"> </w:t>
      </w:r>
      <w:r w:rsidR="00471D98" w:rsidRPr="00D26EEB">
        <w:t xml:space="preserve">change </w:t>
      </w:r>
      <w:r w:rsidR="009D307A" w:rsidRPr="00D26EEB">
        <w:t xml:space="preserve">the flow of information </w:t>
      </w:r>
      <w:r w:rsidR="00B91200" w:rsidRPr="00D26EEB">
        <w:t>by creating more nationalized information environments.</w:t>
      </w:r>
      <w:r w:rsidR="00B91200">
        <w:t xml:space="preserve"> </w:t>
      </w:r>
    </w:p>
    <w:p w14:paraId="21FCF544" w14:textId="35F3E436" w:rsidR="0038258E" w:rsidRDefault="0038258E" w:rsidP="0038258E">
      <w:pPr>
        <w:spacing w:after="0"/>
        <w:ind w:firstLine="720"/>
        <w:rPr>
          <w:bCs/>
          <w:shd w:val="clear" w:color="auto" w:fill="FFFFFF"/>
        </w:rPr>
      </w:pPr>
      <w:r>
        <w:t>To our knowledge, this study is the first to examine the influence of broadband connectivity in state</w:t>
      </w:r>
      <w:bookmarkStart w:id="0" w:name="_GoBack"/>
      <w:bookmarkEnd w:id="0"/>
      <w:r>
        <w:t xml:space="preserve"> policy diffusion.</w:t>
      </w:r>
      <w:r w:rsidR="00126A78">
        <w:t xml:space="preserve"> W</w:t>
      </w:r>
      <w:r>
        <w:t xml:space="preserve">e model </w:t>
      </w:r>
      <w:r w:rsidR="00126A78">
        <w:t>thousands of</w:t>
      </w:r>
      <w:r>
        <w:t xml:space="preserve"> adoption</w:t>
      </w:r>
      <w:r w:rsidR="00126A78">
        <w:t xml:space="preserve">s </w:t>
      </w:r>
      <w:r>
        <w:t>of state policies over the past four decades through a pooled event history analysis (Kreitzer and Boehmke 2016) using the</w:t>
      </w:r>
      <w:r w:rsidRPr="00DA541C">
        <w:t xml:space="preserve"> </w:t>
      </w:r>
      <w:r w:rsidRPr="00DA541C">
        <w:rPr>
          <w:bCs/>
          <w:shd w:val="clear" w:color="auto" w:fill="FFFFFF"/>
        </w:rPr>
        <w:t>State Policy Innovation and Diffusion Database</w:t>
      </w:r>
      <w:r w:rsidR="00EC2CD7">
        <w:rPr>
          <w:bCs/>
          <w:shd w:val="clear" w:color="auto" w:fill="FFFFFF"/>
        </w:rPr>
        <w:t xml:space="preserve"> (SPID)</w:t>
      </w:r>
      <w:r w:rsidRPr="00DA541C">
        <w:rPr>
          <w:b/>
          <w:bCs/>
          <w:shd w:val="clear" w:color="auto" w:fill="FFFFFF"/>
        </w:rPr>
        <w:t xml:space="preserve"> </w:t>
      </w:r>
      <w:r w:rsidRPr="00DA541C">
        <w:rPr>
          <w:bCs/>
          <w:shd w:val="clear" w:color="auto" w:fill="FFFFFF"/>
        </w:rPr>
        <w:t>(Boehmke et al 20</w:t>
      </w:r>
      <w:r>
        <w:rPr>
          <w:bCs/>
          <w:shd w:val="clear" w:color="auto" w:fill="FFFFFF"/>
        </w:rPr>
        <w:t>20</w:t>
      </w:r>
      <w:r w:rsidRPr="00DA541C">
        <w:rPr>
          <w:bCs/>
          <w:shd w:val="clear" w:color="auto" w:fill="FFFFFF"/>
        </w:rPr>
        <w:t>)</w:t>
      </w:r>
      <w:r>
        <w:rPr>
          <w:bCs/>
          <w:shd w:val="clear" w:color="auto" w:fill="FFFFFF"/>
        </w:rPr>
        <w:t>. The results suggest</w:t>
      </w:r>
      <w:r w:rsidRPr="00DA541C">
        <w:rPr>
          <w:bCs/>
          <w:shd w:val="clear" w:color="auto" w:fill="FFFFFF"/>
        </w:rPr>
        <w:t xml:space="preserve"> </w:t>
      </w:r>
      <w:r w:rsidRPr="006C5162">
        <w:rPr>
          <w:bCs/>
          <w:shd w:val="clear" w:color="auto" w:fill="FFFFFF"/>
        </w:rPr>
        <w:t xml:space="preserve">digital information access </w:t>
      </w:r>
      <w:r w:rsidR="00BC6E55">
        <w:rPr>
          <w:bCs/>
          <w:shd w:val="clear" w:color="auto" w:fill="FFFFFF"/>
        </w:rPr>
        <w:t xml:space="preserve">is associated with significantly higher rates of policy innovation. These results hold in an instrumental variable analysis that strips out factors that may predict both innovation and broadband. </w:t>
      </w:r>
    </w:p>
    <w:p w14:paraId="0059FFC8" w14:textId="6EFC583A" w:rsidR="0038258E" w:rsidRDefault="0038258E" w:rsidP="0038258E">
      <w:pPr>
        <w:spacing w:after="0"/>
        <w:ind w:firstLine="720"/>
      </w:pPr>
      <w:r w:rsidRPr="00DA541C">
        <w:rPr>
          <w:bCs/>
          <w:shd w:val="clear" w:color="auto" w:fill="FFFFFF"/>
        </w:rPr>
        <w:t xml:space="preserve">We </w:t>
      </w:r>
      <w:r w:rsidRPr="00DA541C">
        <w:t xml:space="preserve">also find that </w:t>
      </w:r>
      <w:r>
        <w:t xml:space="preserve">widespread internet </w:t>
      </w:r>
      <w:r w:rsidR="009D307A">
        <w:t>use</w:t>
      </w:r>
      <w:r w:rsidR="00022D66">
        <w:t xml:space="preserve"> </w:t>
      </w:r>
      <w:r w:rsidRPr="003F232B">
        <w:t xml:space="preserve">has </w:t>
      </w:r>
      <w:r w:rsidR="00BC6E55">
        <w:t>significantly reduced the influence of geographic proximity on policy adoption</w:t>
      </w:r>
      <w:r>
        <w:t>.</w:t>
      </w:r>
      <w:r w:rsidRPr="00A94BCD">
        <w:t xml:space="preserve"> </w:t>
      </w:r>
      <w:r>
        <w:t>W</w:t>
      </w:r>
      <w:r w:rsidRPr="00DA541C">
        <w:t xml:space="preserve">hile </w:t>
      </w:r>
      <w:r>
        <w:t xml:space="preserve">geographic </w:t>
      </w:r>
      <w:r w:rsidRPr="00DA541C">
        <w:t>contiguity</w:t>
      </w:r>
      <w:r w:rsidR="00907B6E" w:rsidRPr="00D26EEB">
        <w:t>, or neighboring states</w:t>
      </w:r>
      <w:r w:rsidR="00907B6E">
        <w:t>,</w:t>
      </w:r>
      <w:r w:rsidRPr="00DA541C">
        <w:t xml:space="preserve"> still positively predicts </w:t>
      </w:r>
      <w:r>
        <w:t xml:space="preserve">state </w:t>
      </w:r>
      <w:r w:rsidRPr="00DA541C">
        <w:t xml:space="preserve">policy adoption, </w:t>
      </w:r>
      <w:r>
        <w:t xml:space="preserve">high rates of </w:t>
      </w:r>
      <w:r w:rsidRPr="00DA541C">
        <w:t xml:space="preserve">broadband </w:t>
      </w:r>
      <w:r w:rsidRPr="003A7BD0">
        <w:t>use</w:t>
      </w:r>
      <w:r>
        <w:t xml:space="preserve"> </w:t>
      </w:r>
      <w:r w:rsidRPr="00DA541C">
        <w:t>reduce its importance</w:t>
      </w:r>
      <w:r>
        <w:t xml:space="preserve">. </w:t>
      </w:r>
      <w:r w:rsidR="00BC6E55">
        <w:t xml:space="preserve">Taken together, our findings suggest that broadband </w:t>
      </w:r>
      <w:r w:rsidR="003A7BD0">
        <w:t xml:space="preserve">connectivity </w:t>
      </w:r>
      <w:r w:rsidR="00BC6E55">
        <w:t xml:space="preserve">has created a more information rich, nationalized environment where policies spread more quickly and are less dependent on geography to spread. </w:t>
      </w:r>
      <w:r>
        <w:t xml:space="preserve"> </w:t>
      </w:r>
    </w:p>
    <w:p w14:paraId="5D125B23" w14:textId="3FD482E2" w:rsidR="009D307A" w:rsidRDefault="00D4196C" w:rsidP="009D307A">
      <w:pPr>
        <w:spacing w:after="0"/>
        <w:rPr>
          <w:b/>
        </w:rPr>
      </w:pPr>
      <w:r>
        <w:rPr>
          <w:b/>
        </w:rPr>
        <w:t>Growing Innovation and Nationalization of the Diffusion Network</w:t>
      </w:r>
    </w:p>
    <w:p w14:paraId="32B7EBD9" w14:textId="6A930941" w:rsidR="0038258E" w:rsidRDefault="0038258E" w:rsidP="009D307A">
      <w:pPr>
        <w:spacing w:after="0"/>
        <w:ind w:firstLine="720"/>
      </w:pPr>
      <w:r w:rsidRPr="00DA541C">
        <w:t>Political scientists have long studied what causes some policies to diffuse widely and others to not</w:t>
      </w:r>
      <w:r>
        <w:t>, with a focus on the comparative advantage of studying the fifty U</w:t>
      </w:r>
      <w:r w:rsidR="000836B1">
        <w:t>.</w:t>
      </w:r>
      <w:r>
        <w:t>S</w:t>
      </w:r>
      <w:r w:rsidR="000836B1">
        <w:t>.</w:t>
      </w:r>
      <w:r>
        <w:t xml:space="preserve"> states</w:t>
      </w:r>
      <w:r w:rsidRPr="00DA541C">
        <w:t xml:space="preserve"> (Walker 1969; Gray 1973).</w:t>
      </w:r>
      <w:r>
        <w:t xml:space="preserve"> </w:t>
      </w:r>
      <w:r w:rsidRPr="00DA541C">
        <w:t>Berry and Berry’s (1990) introduction of event history analysis opened a new wave of interest</w:t>
      </w:r>
      <w:r>
        <w:t xml:space="preserve"> in policy diffusion</w:t>
      </w:r>
      <w:r w:rsidRPr="00DA541C">
        <w:t xml:space="preserve"> as scholars could use internal</w:t>
      </w:r>
      <w:r>
        <w:t xml:space="preserve"> </w:t>
      </w:r>
      <w:r w:rsidRPr="00D26EEB">
        <w:t>(</w:t>
      </w:r>
      <w:r w:rsidR="000836B1" w:rsidRPr="00D26EEB">
        <w:t xml:space="preserve">i.e. </w:t>
      </w:r>
      <w:r w:rsidRPr="00D26EEB">
        <w:t>legislative professionalism, population, state ideology) and external (</w:t>
      </w:r>
      <w:r w:rsidR="000836B1" w:rsidRPr="00D26EEB">
        <w:t xml:space="preserve">i.e. </w:t>
      </w:r>
      <w:r w:rsidRPr="00D26EEB">
        <w:t>neighboring state adoptions, latent diffusion ties)</w:t>
      </w:r>
      <w:r>
        <w:t xml:space="preserve"> </w:t>
      </w:r>
      <w:r w:rsidRPr="00DA541C">
        <w:lastRenderedPageBreak/>
        <w:t>characteristics</w:t>
      </w:r>
      <w:r>
        <w:t xml:space="preserve"> of states</w:t>
      </w:r>
      <w:r w:rsidRPr="00DA541C">
        <w:t xml:space="preserve"> to model </w:t>
      </w:r>
      <w:r>
        <w:t xml:space="preserve">policy </w:t>
      </w:r>
      <w:r w:rsidRPr="00DA541C">
        <w:t>diffusion</w:t>
      </w:r>
      <w:r>
        <w:t xml:space="preserve"> across geography</w:t>
      </w:r>
      <w:r w:rsidRPr="00DA541C">
        <w:t xml:space="preserve">. This methodological </w:t>
      </w:r>
      <w:r w:rsidR="00907B6E" w:rsidRPr="00D26EEB">
        <w:t>change</w:t>
      </w:r>
      <w:r w:rsidRPr="00DA541C">
        <w:t xml:space="preserve"> led to a large growth in single policy studies that provided important insights to the predictors of policy diffusion</w:t>
      </w:r>
      <w:r>
        <w:t xml:space="preserve"> (Grossback, Nicholson-Crotty and Peterson 2004; Boushey 2010). </w:t>
      </w:r>
      <w:r>
        <w:tab/>
      </w:r>
    </w:p>
    <w:p w14:paraId="54DFC277" w14:textId="3EE11C7F" w:rsidR="0038258E" w:rsidRDefault="0038258E" w:rsidP="0038258E">
      <w:pPr>
        <w:spacing w:after="0"/>
        <w:ind w:firstLine="720"/>
      </w:pPr>
      <w:r w:rsidRPr="00DA541C">
        <w:t xml:space="preserve">Recently, there has been a </w:t>
      </w:r>
      <w:r>
        <w:t>shift toward</w:t>
      </w:r>
      <w:r w:rsidRPr="00DA541C">
        <w:t xml:space="preserve"> studies that take a large-N approach to measuring policy diffusion, often using dozens or hundreds of policies to systematically identify </w:t>
      </w:r>
      <w:r>
        <w:t xml:space="preserve">spatial </w:t>
      </w:r>
      <w:r w:rsidRPr="00DA541C">
        <w:t>patterns of policy diffusion</w:t>
      </w:r>
      <w:r>
        <w:t xml:space="preserve"> </w:t>
      </w:r>
      <w:r w:rsidRPr="00FA44F6">
        <w:t>(Boehmke and Skinner 2012; Boehmke et al 20</w:t>
      </w:r>
      <w:r w:rsidR="00943D15">
        <w:t>20</w:t>
      </w:r>
      <w:r w:rsidRPr="00FA44F6">
        <w:t xml:space="preserve">;  Boushey 2010; Bricker and LaCombe 2020; </w:t>
      </w:r>
      <w:r w:rsidRPr="00D26EEB">
        <w:t>Karch, Nicholson-Crotty, and Bowman 2016; Mallinson 2019). This trend has enabled researchers to identify consistent</w:t>
      </w:r>
      <w:r w:rsidR="00907B6E" w:rsidRPr="00D26EEB">
        <w:t xml:space="preserve"> and more generalizable</w:t>
      </w:r>
      <w:r w:rsidRPr="00D26EEB">
        <w:t xml:space="preserve"> diffusion patterns across multiple </w:t>
      </w:r>
      <w:r w:rsidR="00830C40" w:rsidRPr="00D26EEB">
        <w:t>policy areas</w:t>
      </w:r>
      <w:r w:rsidRPr="00D26EEB">
        <w:t xml:space="preserve">. The </w:t>
      </w:r>
      <w:r w:rsidR="00EC2CD7" w:rsidRPr="00D26EEB">
        <w:t>SPID</w:t>
      </w:r>
      <w:r w:rsidRPr="00D26EEB">
        <w:t xml:space="preserve"> dataset (Boehmke et al 2020) is the most comprehensive to date, with data on thousands of policies across all topic areas, ranging from gun control measures, to abortion restrictions</w:t>
      </w:r>
      <w:r>
        <w:t>, to regulatory policies from the Uniform Law Commission.</w:t>
      </w:r>
    </w:p>
    <w:p w14:paraId="273438E2" w14:textId="5582B664" w:rsidR="0038258E" w:rsidRDefault="0038258E" w:rsidP="0038258E">
      <w:pPr>
        <w:spacing w:after="0"/>
        <w:ind w:firstLine="720"/>
      </w:pPr>
      <w:r w:rsidRPr="00DA541C">
        <w:t xml:space="preserve">Despite the variety in methodological and theoretical approaches to understanding </w:t>
      </w:r>
      <w:r>
        <w:t>how policies spread</w:t>
      </w:r>
      <w:r w:rsidRPr="00DA541C">
        <w:t xml:space="preserve">, </w:t>
      </w:r>
      <w:r>
        <w:t>a</w:t>
      </w:r>
      <w:r w:rsidRPr="00DA541C">
        <w:t xml:space="preserve"> central component is typically the role of information exchanges in policy diffusion (</w:t>
      </w:r>
      <w:r w:rsidRPr="00D95488">
        <w:t>Boushey 2010</w:t>
      </w:r>
      <w:r>
        <w:t xml:space="preserve">; </w:t>
      </w:r>
      <w:r w:rsidRPr="00DA541C">
        <w:t>Nicholson-Crotty and Carley 2018)</w:t>
      </w:r>
      <w:r>
        <w:t>, although this is typically not measured directly but rather through the ways that information flows, be it due to geographic proximity, a contagion effect, or latent diffusion ties</w:t>
      </w:r>
      <w:r w:rsidRPr="00DA541C">
        <w:t xml:space="preserve">. </w:t>
      </w:r>
      <w:r>
        <w:t>Whether</w:t>
      </w:r>
      <w:r w:rsidRPr="00DA541C">
        <w:t xml:space="preserve"> competing, learning, or imitating</w:t>
      </w:r>
      <w:r>
        <w:t xml:space="preserve"> (Shipan and Volden 2008)</w:t>
      </w:r>
      <w:r w:rsidRPr="00DA541C">
        <w:t>, states use information about what other states are doing when they innovate</w:t>
      </w:r>
      <w:r>
        <w:t>, or adopt new policies</w:t>
      </w:r>
      <w:r w:rsidRPr="00DA541C">
        <w:t>.</w:t>
      </w:r>
      <w:r>
        <w:rPr>
          <w:rStyle w:val="FootnoteReference"/>
        </w:rPr>
        <w:footnoteReference w:id="1"/>
      </w:r>
      <w:r w:rsidRPr="00DA541C">
        <w:t xml:space="preserve"> Information plays a vital role in the spread of </w:t>
      </w:r>
      <w:r>
        <w:t>ideas</w:t>
      </w:r>
      <w:r w:rsidRPr="00DA541C">
        <w:t xml:space="preserve"> and states’ ability to find policy prescriptions for emerging problems</w:t>
      </w:r>
      <w:r w:rsidR="00B1559B">
        <w:t xml:space="preserve"> (Hale 2011)</w:t>
      </w:r>
      <w:r w:rsidRPr="00DA541C">
        <w:t xml:space="preserve">. </w:t>
      </w:r>
      <w:r>
        <w:t>Information is not just constrained to adopting policies with successful outcomes such as higher economic growth or increased approval from voters</w:t>
      </w:r>
      <w:r w:rsidRPr="00DA541C">
        <w:t xml:space="preserve">. </w:t>
      </w:r>
      <w:r>
        <w:t>For example, p</w:t>
      </w:r>
      <w:r w:rsidRPr="00DA541C">
        <w:t xml:space="preserve">revious adopters send information to other states </w:t>
      </w:r>
      <w:r w:rsidRPr="00DA541C">
        <w:lastRenderedPageBreak/>
        <w:t>about the ideological location of a policy (Grossback, Nicholson-Crotty &amp; Peterson 2004)</w:t>
      </w:r>
      <w:r>
        <w:t xml:space="preserve"> so lawmakers</w:t>
      </w:r>
      <w:r w:rsidRPr="00DA541C">
        <w:t xml:space="preserve"> can </w:t>
      </w:r>
      <w:r>
        <w:t xml:space="preserve">quickly </w:t>
      </w:r>
      <w:r w:rsidRPr="00DA541C">
        <w:t xml:space="preserve">learn </w:t>
      </w:r>
      <w:r>
        <w:t>if a new</w:t>
      </w:r>
      <w:r w:rsidRPr="00DA541C">
        <w:t xml:space="preserve"> policy is politically viable</w:t>
      </w:r>
      <w:r w:rsidR="00EC2CD7">
        <w:t xml:space="preserve"> </w:t>
      </w:r>
      <w:r w:rsidRPr="00DA541C">
        <w:t xml:space="preserve">(Butler et al 2017).  </w:t>
      </w:r>
    </w:p>
    <w:p w14:paraId="1976EDED" w14:textId="6DBF43D5" w:rsidR="0038258E" w:rsidRPr="00DA541C" w:rsidRDefault="0038258E" w:rsidP="0038258E">
      <w:pPr>
        <w:spacing w:after="0"/>
        <w:ind w:firstLine="720"/>
      </w:pPr>
      <w:r>
        <w:t>We focus on two recent dynamics that have been observed by those who study state policy diffusion.</w:t>
      </w:r>
      <w:r w:rsidR="003B652D">
        <w:rPr>
          <w:rStyle w:val="FootnoteReference"/>
        </w:rPr>
        <w:footnoteReference w:id="2"/>
      </w:r>
      <w:r>
        <w:t xml:space="preserve"> First, states have become more innovative over time (Boehmke and Skinner 2012: Boehmke et al 2020). Whether using Walker’s (1969) original innovativeness score or the more recent </w:t>
      </w:r>
      <w:r w:rsidRPr="007D2BCF">
        <w:t>“rate score”</w:t>
      </w:r>
      <w:r>
        <w:t xml:space="preserve"> (Boehmke and Skinner 2012), states have experienced a rapid growth in innovativeness beginning in the 1990s. </w:t>
      </w:r>
      <w:r w:rsidR="00D42EF9">
        <w:t xml:space="preserve">The </w:t>
      </w:r>
      <w:r>
        <w:t xml:space="preserve">cause of recent spikes in the number of policy adoptions is less clear. We argue that </w:t>
      </w:r>
      <w:r w:rsidR="00D42EF9">
        <w:t>broadband</w:t>
      </w:r>
      <w:r>
        <w:t xml:space="preserve"> has contributed to this dynamic by increasing the availability of information to policymakers to learn about policies adopted across states and local communities.</w:t>
      </w:r>
    </w:p>
    <w:p w14:paraId="02925CF1" w14:textId="0814B7B4" w:rsidR="0038258E" w:rsidRDefault="0038258E" w:rsidP="0038258E">
      <w:pPr>
        <w:spacing w:after="0"/>
      </w:pPr>
      <w:r w:rsidRPr="00DA541C">
        <w:tab/>
      </w:r>
      <w:r w:rsidR="00580F47">
        <w:t>Second, s</w:t>
      </w:r>
      <w:r w:rsidR="008E78F8">
        <w:t>cho</w:t>
      </w:r>
      <w:r w:rsidR="00546BFD">
        <w:t>l</w:t>
      </w:r>
      <w:r w:rsidR="008E78F8">
        <w:t>ars</w:t>
      </w:r>
      <w:r>
        <w:t xml:space="preserve"> have found that states are more likely to adopt policies when neighboring states have already done so </w:t>
      </w:r>
      <w:r w:rsidRPr="00DA541C">
        <w:t xml:space="preserve">(Walker 1969, Gray 1973; Berry and Baybeck 2005). </w:t>
      </w:r>
      <w:r w:rsidR="00EC2CD7" w:rsidRPr="00D26EEB">
        <w:t>Geographic</w:t>
      </w:r>
      <w:r w:rsidR="00EC2CD7">
        <w:t xml:space="preserve"> p</w:t>
      </w:r>
      <w:r>
        <w:t>roximity means states can</w:t>
      </w:r>
      <w:r w:rsidRPr="00DA541C">
        <w:t xml:space="preserve"> easily observe what policies neighboring states are adopting, and citizens near state borders are likely exposed to neighboring state policy changes (Pacheco 201</w:t>
      </w:r>
      <w:r>
        <w:t>2</w:t>
      </w:r>
      <w:r w:rsidRPr="00DA541C">
        <w:t xml:space="preserve">). </w:t>
      </w:r>
      <w:r>
        <w:t>Walker (1969) argued that contiguity played an important role in diffusion because it facilitates information flows for elites to learn about new ideas and receive other relevant cues about whether they should adopt a policy. Geographic proximity suggests that the cost of getting information about neighboring state policies is lower than learning about state policies hundreds or thousands of miles away</w:t>
      </w:r>
      <w:r w:rsidR="00D42EF9">
        <w:t>.</w:t>
      </w:r>
      <w:r>
        <w:t xml:space="preserve"> </w:t>
      </w:r>
    </w:p>
    <w:p w14:paraId="053083E5" w14:textId="0B789E5B" w:rsidR="0038258E" w:rsidRPr="006C5162" w:rsidRDefault="0038258E" w:rsidP="0038258E">
      <w:pPr>
        <w:spacing w:after="0"/>
        <w:rPr>
          <w:b/>
        </w:rPr>
      </w:pPr>
      <w:r w:rsidRPr="00351BE3">
        <w:rPr>
          <w:b/>
        </w:rPr>
        <w:t xml:space="preserve">Digital </w:t>
      </w:r>
      <w:r>
        <w:rPr>
          <w:b/>
        </w:rPr>
        <w:t>I</w:t>
      </w:r>
      <w:r w:rsidRPr="00351BE3">
        <w:rPr>
          <w:b/>
        </w:rPr>
        <w:t xml:space="preserve">nformation </w:t>
      </w:r>
      <w:r>
        <w:rPr>
          <w:b/>
        </w:rPr>
        <w:t xml:space="preserve">Access &amp; State Information Networks </w:t>
      </w:r>
    </w:p>
    <w:p w14:paraId="31409D18" w14:textId="4F31E526" w:rsidR="0038258E" w:rsidRDefault="0038258E" w:rsidP="0038258E">
      <w:pPr>
        <w:spacing w:after="0"/>
      </w:pPr>
      <w:r w:rsidRPr="006C5162">
        <w:tab/>
        <w:t xml:space="preserve">Digital information now drives participation in politics, </w:t>
      </w:r>
      <w:r w:rsidR="002D737E">
        <w:t xml:space="preserve">jobs and </w:t>
      </w:r>
      <w:r>
        <w:t>commercial activity</w:t>
      </w:r>
      <w:r w:rsidR="002D737E">
        <w:t xml:space="preserve"> </w:t>
      </w:r>
      <w:r w:rsidR="002D737E" w:rsidRPr="002D737E">
        <w:t>(</w:t>
      </w:r>
      <w:r w:rsidR="00484869" w:rsidRPr="00484869">
        <w:t xml:space="preserve"> </w:t>
      </w:r>
      <w:r w:rsidR="00484869" w:rsidRPr="00484869">
        <w:rPr>
          <w:rFonts w:ascii="Times" w:hAnsi="Times"/>
          <w:shd w:val="clear" w:color="auto" w:fill="FFFFFF"/>
        </w:rPr>
        <w:t>DiMaggio and Bonikowski 2008</w:t>
      </w:r>
      <w:r w:rsidR="002D737E" w:rsidRPr="002D737E">
        <w:t>)</w:t>
      </w:r>
      <w:r w:rsidR="000D4C17" w:rsidRPr="002D737E">
        <w:t>,</w:t>
      </w:r>
      <w:r>
        <w:t xml:space="preserve"> </w:t>
      </w:r>
      <w:r w:rsidRPr="006C5162">
        <w:t>econom</w:t>
      </w:r>
      <w:r>
        <w:t>ic growth</w:t>
      </w:r>
      <w:r w:rsidR="000D4C17">
        <w:t>,</w:t>
      </w:r>
      <w:r>
        <w:t xml:space="preserve"> and</w:t>
      </w:r>
      <w:r w:rsidRPr="006C5162">
        <w:t xml:space="preserve"> </w:t>
      </w:r>
      <w:r>
        <w:t>societal change</w:t>
      </w:r>
      <w:r w:rsidR="00126A78">
        <w:t xml:space="preserve">, yet </w:t>
      </w:r>
      <w:r w:rsidR="0060427C">
        <w:t xml:space="preserve">internet access </w:t>
      </w:r>
      <w:r w:rsidR="00126A78">
        <w:lastRenderedPageBreak/>
        <w:t>(both at the micro and macro level) is unequal</w:t>
      </w:r>
      <w:r>
        <w:t xml:space="preserve"> (Tomer, Kneebone and Shivaram 2017</w:t>
      </w:r>
      <w:r w:rsidR="003B2FA4">
        <w:t>; Mossberger et al 2003</w:t>
      </w:r>
      <w:r w:rsidR="002D737E">
        <w:t>, 2012</w:t>
      </w:r>
      <w:r w:rsidR="00E05767">
        <w:t>;</w:t>
      </w:r>
      <w:r w:rsidR="002316B6">
        <w:t xml:space="preserve"> Norris 2001;</w:t>
      </w:r>
      <w:r w:rsidR="00E05767">
        <w:t xml:space="preserve"> </w:t>
      </w:r>
      <w:r w:rsidR="00E05767" w:rsidRPr="00E05767">
        <w:rPr>
          <w:color w:val="333333"/>
          <w:shd w:val="clear" w:color="auto" w:fill="FFFFFF"/>
        </w:rPr>
        <w:t>Schlozman et al 2010</w:t>
      </w:r>
      <w:r>
        <w:t xml:space="preserve">). This is patterned by race, ethnicity, education, income and age, and unevenly distributed across communities and states (Mossberger, Tolbert and LaCombe </w:t>
      </w:r>
      <w:r w:rsidR="00355ECF">
        <w:t>2021</w:t>
      </w:r>
      <w:r w:rsidRPr="009C2013">
        <w:t>)</w:t>
      </w:r>
      <w:r w:rsidRPr="00214793">
        <w:t xml:space="preserve">. </w:t>
      </w:r>
      <w:r w:rsidR="00355ECF" w:rsidRPr="00D26EEB">
        <w:t>There is</w:t>
      </w:r>
      <w:r w:rsidRPr="00D26EEB">
        <w:t xml:space="preserve"> considerable variation in broadband subscription rates across states. In 2014, </w:t>
      </w:r>
      <w:r w:rsidR="00355ECF" w:rsidRPr="00D26EEB">
        <w:t xml:space="preserve">for example, </w:t>
      </w:r>
      <w:r w:rsidRPr="00D26EEB">
        <w:t xml:space="preserve">there was a 23% gap between the state with the highest (New Hampshire at 86%) and lowest (Mississippi 63%) </w:t>
      </w:r>
      <w:r w:rsidR="0060427C" w:rsidRPr="00D26EEB">
        <w:t xml:space="preserve">household </w:t>
      </w:r>
      <w:r w:rsidRPr="00D26EEB">
        <w:t xml:space="preserve">broadband subscription rate. From 2005 to 2009, when broadband subscriptions were rapidly </w:t>
      </w:r>
      <w:r w:rsidR="00E36D4E" w:rsidRPr="00D26EEB">
        <w:t>increasing</w:t>
      </w:r>
      <w:r>
        <w:t xml:space="preserve"> across the county, this gap between the most and least connected states grew to as large as 35%.  On average, states in the South tend to have the lowest subscription rates, while those in the North East and West Coast have the highest. How might we expect this to affect information networks within states and across state lines?</w:t>
      </w:r>
      <w:r w:rsidR="000D7586">
        <w:t xml:space="preserve"> Why is it that broadband subscriptions in the population (not just in the halls of the state capitol) might change how policies diffuse?  </w:t>
      </w:r>
    </w:p>
    <w:p w14:paraId="56A8D1CB" w14:textId="2CBCCFD2" w:rsidR="0038258E" w:rsidRPr="00126A78" w:rsidRDefault="0038258E" w:rsidP="00126A78">
      <w:pPr>
        <w:spacing w:after="0"/>
        <w:ind w:firstLine="720"/>
        <w:rPr>
          <w:i/>
          <w:iCs/>
        </w:rPr>
      </w:pPr>
      <w:r w:rsidRPr="00EF3913">
        <w:t xml:space="preserve">Broadband impacts </w:t>
      </w:r>
      <w:r>
        <w:t>what policy scholars have called the public</w:t>
      </w:r>
      <w:r w:rsidR="00A24F4D">
        <w:t xml:space="preserve">, </w:t>
      </w:r>
      <w:r w:rsidRPr="00D26EEB">
        <w:t>systemic</w:t>
      </w:r>
      <w:r w:rsidR="00A24F4D" w:rsidRPr="00D26EEB">
        <w:t xml:space="preserve"> or government</w:t>
      </w:r>
      <w:r w:rsidRPr="00D26EEB">
        <w:t xml:space="preserve"> agenda (Kingdon 1995; Cobb and Elder 1972) through the availability of information and opportunities to communicate ideas and preferences with other citizens and/or policymakers such as legislators or administrators.  Such </w:t>
      </w:r>
      <w:r w:rsidR="001811F3" w:rsidRPr="00D26EEB">
        <w:t xml:space="preserve">public </w:t>
      </w:r>
      <w:r w:rsidRPr="00D26EEB">
        <w:t>agendas have traditionally been measured</w:t>
      </w:r>
      <w:r>
        <w:t xml:space="preserve"> by issue attention in the media (Baumgartner and Jones 1993; Jones and Baumgartner 2005; Downs 1972; Kingdon 1995; Zahariadas 2016). While local television and newspaper coverage highlight local candidates and issues (Prior 2006; Snyder and Stromberg 2008), digital media has shifted information flows to national sources that cover the entire country rather than focus on local topics (Lelkes et al 2015</w:t>
      </w:r>
      <w:r w:rsidR="001451BE">
        <w:t xml:space="preserve">; </w:t>
      </w:r>
      <w:r>
        <w:t xml:space="preserve">Hindman 2008). </w:t>
      </w:r>
    </w:p>
    <w:p w14:paraId="6C5A0017" w14:textId="0CF31BE6" w:rsidR="00126A78" w:rsidRDefault="0038258E" w:rsidP="00126A78">
      <w:pPr>
        <w:spacing w:after="0"/>
        <w:ind w:firstLine="720"/>
        <w:rPr>
          <w:rFonts w:ascii="Times" w:hAnsi="Times" w:cs="TimesNewRomanPSMT"/>
        </w:rPr>
      </w:pPr>
      <w:r>
        <w:t xml:space="preserve">Broadband and digital media have changed the information environment in other ways as well, diversifying sources beyond traditional media and incorporating new forms of civic </w:t>
      </w:r>
      <w:r>
        <w:lastRenderedPageBreak/>
        <w:t>engagement (Feezell 2017).</w:t>
      </w:r>
      <w:r w:rsidRPr="00EF3913">
        <w:t xml:space="preserve">  </w:t>
      </w:r>
      <w:r w:rsidR="00927140">
        <w:t>Broadband provides new</w:t>
      </w:r>
      <w:r w:rsidR="00927140" w:rsidRPr="00EF3913">
        <w:t xml:space="preserve"> platforms</w:t>
      </w:r>
      <w:r w:rsidR="00927140">
        <w:t xml:space="preserve"> such as social media</w:t>
      </w:r>
      <w:r w:rsidR="00927140" w:rsidRPr="00EF3913">
        <w:t xml:space="preserve"> for public discussion and displays of public opinion</w:t>
      </w:r>
      <w:r w:rsidR="00927140">
        <w:t xml:space="preserve"> that policymakers can view (Gainous and Wagner 2013), and that are in turn often amplified by the traditional press in a hybrid media environment (Chadwick 2017</w:t>
      </w:r>
      <w:r w:rsidR="00927140" w:rsidRPr="00147AED">
        <w:t xml:space="preserve">).  </w:t>
      </w:r>
      <w:r w:rsidRPr="00147AED">
        <w:t xml:space="preserve"> In this environment, more issues may have a chance to emerge on the public agenda and possibly legislative agendas.  The costs of media diversification and fragmentation has been debated (Sunstein 2007), but one impact may be the introduction of more ideas and issues in the public sphere</w:t>
      </w:r>
      <w:r w:rsidR="00753D8E" w:rsidRPr="00147AED">
        <w:t xml:space="preserve">, and more nationalized </w:t>
      </w:r>
      <w:r w:rsidR="00B97599" w:rsidRPr="00147AED">
        <w:t>public agenda.</w:t>
      </w:r>
    </w:p>
    <w:p w14:paraId="0D5D0C98" w14:textId="375C5847" w:rsidR="0038258E" w:rsidRPr="00147AED" w:rsidRDefault="0038258E" w:rsidP="00126A78">
      <w:pPr>
        <w:spacing w:after="0"/>
        <w:ind w:firstLine="720"/>
        <w:rPr>
          <w:rFonts w:ascii="Times" w:hAnsi="Times" w:cs="TimesNewRomanPSMT"/>
        </w:rPr>
      </w:pPr>
      <w:r>
        <w:t xml:space="preserve">Ideas considered by policymakers may </w:t>
      </w:r>
      <w:r w:rsidRPr="00EF3913">
        <w:t xml:space="preserve">come from a variety of </w:t>
      </w:r>
      <w:r>
        <w:t>sourc</w:t>
      </w:r>
      <w:r w:rsidRPr="00EF3913">
        <w:t xml:space="preserve">es – from interest groups, </w:t>
      </w:r>
      <w:r>
        <w:t xml:space="preserve">media, </w:t>
      </w:r>
      <w:r w:rsidRPr="00EF3913">
        <w:t xml:space="preserve">think tanks, professional networks and informal contacts with other states (Kingdon 1995; Mossberger 2000; </w:t>
      </w:r>
      <w:r w:rsidRPr="00147AED">
        <w:t>Balla 2001; Boushey 2010; Garret and Jansa 2015</w:t>
      </w:r>
      <w:r w:rsidR="002D737E" w:rsidRPr="00147AED">
        <w:t>)</w:t>
      </w:r>
      <w:r w:rsidRPr="00147AED">
        <w:t xml:space="preserve">. High-speed internet has meant that over time </w:t>
      </w:r>
      <w:r w:rsidR="00B97599" w:rsidRPr="00147AED">
        <w:t>state policymakers can</w:t>
      </w:r>
      <w:r w:rsidRPr="00147AED">
        <w:t xml:space="preserve"> easily access a variety of sources and ideas, </w:t>
      </w:r>
      <w:r w:rsidR="001E385B" w:rsidRPr="00147AED">
        <w:t xml:space="preserve">such as </w:t>
      </w:r>
      <w:r w:rsidRPr="00147AED">
        <w:t xml:space="preserve">looking up model legislation from </w:t>
      </w:r>
      <w:r w:rsidR="0070710E" w:rsidRPr="00147AED">
        <w:t xml:space="preserve">the National Conference of State Legislatures (NCSL) or </w:t>
      </w:r>
      <w:r w:rsidRPr="00147AED">
        <w:t>advocacy groups</w:t>
      </w:r>
      <w:r w:rsidR="002D737E" w:rsidRPr="00147AED">
        <w:t xml:space="preserve"> (see West 2004 on e-government)</w:t>
      </w:r>
      <w:r w:rsidR="00126A78" w:rsidRPr="00147AED">
        <w:t xml:space="preserve">. </w:t>
      </w:r>
      <w:r w:rsidRPr="00147AED">
        <w:t xml:space="preserve">More policy alternatives can be accessed more quickly, with more detailed information than in the past.  </w:t>
      </w:r>
    </w:p>
    <w:p w14:paraId="4D79B2F7" w14:textId="020C2524" w:rsidR="00304917" w:rsidRDefault="00652F9E" w:rsidP="0038258E">
      <w:pPr>
        <w:spacing w:after="0"/>
        <w:ind w:firstLine="720"/>
        <w:rPr>
          <w:rFonts w:ascii="Times" w:hAnsi="Times"/>
        </w:rPr>
      </w:pPr>
      <w:r w:rsidRPr="00147AED">
        <w:t>A significant</w:t>
      </w:r>
      <w:r w:rsidR="001451BE" w:rsidRPr="00147AED">
        <w:t xml:space="preserve"> body of</w:t>
      </w:r>
      <w:r w:rsidR="0038258E" w:rsidRPr="00147AED">
        <w:t xml:space="preserve"> research finds a positive effect of contiguity</w:t>
      </w:r>
      <w:r w:rsidR="00D74160" w:rsidRPr="00147AED">
        <w:t xml:space="preserve"> </w:t>
      </w:r>
      <w:r w:rsidR="0038258E" w:rsidRPr="004B3C87">
        <w:t>on policy adoption</w:t>
      </w:r>
      <w:r w:rsidR="0038258E">
        <w:t xml:space="preserve"> (Walker 1969; Berry and Bayback 2005; see Gilardi 2016</w:t>
      </w:r>
      <w:r w:rsidR="003A5C3F">
        <w:t xml:space="preserve"> and </w:t>
      </w:r>
      <w:r w:rsidR="003A5C3F" w:rsidRPr="00EB1406">
        <w:rPr>
          <w:rFonts w:ascii="Times" w:hAnsi="Times"/>
        </w:rPr>
        <w:t>Magetti and Gilardi’s 2016</w:t>
      </w:r>
      <w:r w:rsidR="0038258E">
        <w:t xml:space="preserve"> for detailed overview</w:t>
      </w:r>
      <w:r w:rsidR="00A8660D">
        <w:t>s</w:t>
      </w:r>
      <w:r w:rsidR="0038258E">
        <w:t xml:space="preserve"> of how </w:t>
      </w:r>
      <w:r w:rsidR="00546BFD">
        <w:t>geographic proximity</w:t>
      </w:r>
      <w:r w:rsidR="0038258E">
        <w:t xml:space="preserve"> has been used in diffusion research)</w:t>
      </w:r>
      <w:r w:rsidR="00304917">
        <w:t xml:space="preserve">. </w:t>
      </w:r>
      <w:r w:rsidR="00304917" w:rsidRPr="00147AED">
        <w:t xml:space="preserve">In the most comprehensive meta-analysis </w:t>
      </w:r>
      <w:r w:rsidR="00304917" w:rsidRPr="00147AED">
        <w:rPr>
          <w:rFonts w:ascii="Times" w:hAnsi="Times"/>
        </w:rPr>
        <w:t>review to date of diffusion studies, Mallinson (</w:t>
      </w:r>
      <w:r w:rsidR="00553455">
        <w:rPr>
          <w:rFonts w:ascii="Times" w:hAnsi="Times"/>
        </w:rPr>
        <w:t xml:space="preserve">WP, </w:t>
      </w:r>
      <w:r w:rsidR="00C72835">
        <w:rPr>
          <w:rFonts w:ascii="Times" w:hAnsi="Times"/>
        </w:rPr>
        <w:t>APSA Pre-print</w:t>
      </w:r>
      <w:r w:rsidR="00304917" w:rsidRPr="00147AED">
        <w:rPr>
          <w:rFonts w:ascii="Times" w:hAnsi="Times"/>
        </w:rPr>
        <w:t xml:space="preserve">) finds that neighbors/geographic contiguity remains one of the most common covariates in models of state policy diffusion (73% of the 507 studies analyzed), along with measures of slack resources, ideology, and legislative professionalism. Mallinson </w:t>
      </w:r>
      <w:r w:rsidR="0070710E" w:rsidRPr="00147AED">
        <w:rPr>
          <w:rFonts w:ascii="Times" w:hAnsi="Times"/>
        </w:rPr>
        <w:t>notes</w:t>
      </w:r>
      <w:r w:rsidR="00887501" w:rsidRPr="00147AED">
        <w:rPr>
          <w:rFonts w:ascii="Times" w:hAnsi="Times"/>
        </w:rPr>
        <w:t xml:space="preserve"> this is </w:t>
      </w:r>
      <w:r w:rsidR="00304917" w:rsidRPr="00147AED">
        <w:rPr>
          <w:rFonts w:ascii="Times" w:hAnsi="Times"/>
        </w:rPr>
        <w:t xml:space="preserve">one of the few variables in his literature review that has a </w:t>
      </w:r>
      <w:r w:rsidR="00887501" w:rsidRPr="00147AED">
        <w:rPr>
          <w:rFonts w:ascii="Times" w:hAnsi="Times"/>
        </w:rPr>
        <w:t>consistently</w:t>
      </w:r>
      <w:r w:rsidR="00304917" w:rsidRPr="00147AED">
        <w:rPr>
          <w:rFonts w:ascii="Times" w:hAnsi="Times"/>
        </w:rPr>
        <w:t xml:space="preserve"> positive effect on policy innovation across hundreds of publications, albeit with heterogeneous effects depending on the </w:t>
      </w:r>
      <w:r w:rsidR="0070710E" w:rsidRPr="00147AED">
        <w:rPr>
          <w:rFonts w:ascii="Times" w:hAnsi="Times"/>
        </w:rPr>
        <w:lastRenderedPageBreak/>
        <w:t>issue</w:t>
      </w:r>
      <w:r w:rsidR="00304917" w:rsidRPr="00147AED">
        <w:rPr>
          <w:rFonts w:ascii="Times" w:hAnsi="Times"/>
        </w:rPr>
        <w:t xml:space="preserve"> area. His final conclusion is that “there is evidence of general effects across the existing studies for the positive effects of neighbor adoptions…” (26, Forthcoming). </w:t>
      </w:r>
      <w:r w:rsidR="00887501" w:rsidRPr="00147AED">
        <w:rPr>
          <w:rFonts w:ascii="Times" w:hAnsi="Times"/>
        </w:rPr>
        <w:t xml:space="preserve">Geographic continuity is thus a </w:t>
      </w:r>
      <w:r w:rsidR="003B27DF" w:rsidRPr="00147AED">
        <w:rPr>
          <w:rFonts w:ascii="Times" w:hAnsi="Times"/>
        </w:rPr>
        <w:t>primary</w:t>
      </w:r>
      <w:r w:rsidR="00887501" w:rsidRPr="00147AED">
        <w:rPr>
          <w:rFonts w:ascii="Times" w:hAnsi="Times"/>
        </w:rPr>
        <w:t xml:space="preserve"> explanation for why states adopt new policies.</w:t>
      </w:r>
    </w:p>
    <w:p w14:paraId="57F95962" w14:textId="4EBE87E0" w:rsidR="009443D9" w:rsidRDefault="0070710E" w:rsidP="0038258E">
      <w:pPr>
        <w:spacing w:after="0"/>
        <w:ind w:firstLine="720"/>
      </w:pPr>
      <w:r w:rsidRPr="00147AED">
        <w:rPr>
          <w:rFonts w:ascii="Times" w:hAnsi="Times"/>
        </w:rPr>
        <w:t>Today</w:t>
      </w:r>
      <w:r w:rsidR="008A4902" w:rsidRPr="00147AED">
        <w:rPr>
          <w:rFonts w:ascii="Times" w:hAnsi="Times"/>
        </w:rPr>
        <w:t xml:space="preserve"> there is an ongoing discussion in the literature both re-evaluating the role of traditional diffusion predictors as well as explaining the variation in their effects over time.</w:t>
      </w:r>
      <w:r w:rsidR="008A4902">
        <w:t xml:space="preserve"> </w:t>
      </w:r>
      <w:r w:rsidR="00304917">
        <w:t xml:space="preserve"> </w:t>
      </w:r>
      <w:r w:rsidR="008A4902">
        <w:t xml:space="preserve">While </w:t>
      </w:r>
      <w:r w:rsidR="008A4902" w:rsidRPr="004B3C87">
        <w:t>Mooney</w:t>
      </w:r>
      <w:r w:rsidR="008A4902">
        <w:t xml:space="preserve"> (2001)</w:t>
      </w:r>
      <w:r w:rsidR="008A4902" w:rsidRPr="004B3C87">
        <w:t xml:space="preserve"> argues that the field has not sufficiently tested the implicit theoretical underpinnings of geographic proximity </w:t>
      </w:r>
      <w:r w:rsidR="008A4902">
        <w:t>driving</w:t>
      </w:r>
      <w:r w:rsidR="008A4902" w:rsidRPr="004B3C87">
        <w:t xml:space="preserve"> learning</w:t>
      </w:r>
      <w:r w:rsidR="008A4902">
        <w:t xml:space="preserve">, </w:t>
      </w:r>
      <w:r w:rsidR="00E9496B">
        <w:t xml:space="preserve">others </w:t>
      </w:r>
      <w:r w:rsidR="0038258E">
        <w:t xml:space="preserve">have countered that it may only apply to certain policies or may mask other underlying processes. </w:t>
      </w:r>
      <w:r w:rsidR="0038258E" w:rsidRPr="004B3C87">
        <w:t xml:space="preserve">For example, </w:t>
      </w:r>
      <w:r w:rsidR="0038258E">
        <w:t xml:space="preserve">there should be </w:t>
      </w:r>
      <w:r w:rsidR="0038258E" w:rsidRPr="004B3C87">
        <w:t xml:space="preserve">heterogeneity </w:t>
      </w:r>
      <w:r w:rsidR="0038258E">
        <w:t xml:space="preserve">in </w:t>
      </w:r>
      <w:r w:rsidR="0038258E" w:rsidRPr="004B3C87">
        <w:t>contiguity</w:t>
      </w:r>
      <w:r w:rsidR="0038258E">
        <w:t xml:space="preserve">’s </w:t>
      </w:r>
      <w:r w:rsidR="0038258E" w:rsidRPr="004B3C87">
        <w:t xml:space="preserve">effect </w:t>
      </w:r>
      <w:r w:rsidR="0038258E">
        <w:t>on policy diffusion</w:t>
      </w:r>
      <w:r w:rsidR="0038258E" w:rsidRPr="004B3C87">
        <w:t xml:space="preserve"> because </w:t>
      </w:r>
      <w:r w:rsidR="0038258E">
        <w:t>government leaders</w:t>
      </w:r>
      <w:r w:rsidR="0038258E" w:rsidRPr="004B3C87">
        <w:t xml:space="preserve"> may learn that a policy causes harm (however defined) so neighboring states should be less likely to adopt a failed policy (</w:t>
      </w:r>
      <w:r w:rsidR="0038258E" w:rsidRPr="004B3C87">
        <w:rPr>
          <w:color w:val="222222"/>
          <w:shd w:val="clear" w:color="auto" w:fill="FFFFFF"/>
        </w:rPr>
        <w:t>Dolowitz and Marsh 1996). Mooney (2001) also posits that in more nationalized information environments</w:t>
      </w:r>
      <w:r w:rsidR="00793745">
        <w:rPr>
          <w:color w:val="222222"/>
          <w:shd w:val="clear" w:color="auto" w:fill="FFFFFF"/>
        </w:rPr>
        <w:t xml:space="preserve">, </w:t>
      </w:r>
      <w:r w:rsidR="009443D9">
        <w:t>shared state borders</w:t>
      </w:r>
      <w:r w:rsidR="0038258E" w:rsidRPr="004B3C87">
        <w:rPr>
          <w:color w:val="222222"/>
          <w:shd w:val="clear" w:color="auto" w:fill="FFFFFF"/>
        </w:rPr>
        <w:t xml:space="preserve"> should play a smaller role. </w:t>
      </w:r>
    </w:p>
    <w:p w14:paraId="5F53595C" w14:textId="2F2F6FC3" w:rsidR="0038258E" w:rsidRDefault="00147AED" w:rsidP="0038258E">
      <w:pPr>
        <w:spacing w:after="0"/>
        <w:ind w:firstLine="720"/>
      </w:pPr>
      <w:r w:rsidRPr="00147AED">
        <w:t xml:space="preserve">Scholars have increasingly identified alternative pathways for state policies to diffuse. </w:t>
      </w:r>
      <w:r>
        <w:t xml:space="preserve">Desmarais </w:t>
      </w:r>
      <w:r w:rsidR="0038258E">
        <w:t>et al (2015)</w:t>
      </w:r>
      <w:r w:rsidR="00D07B39">
        <w:t>, for example,</w:t>
      </w:r>
      <w:r w:rsidR="0038258E">
        <w:t xml:space="preserve"> leveraged over time policy adoptions across hundreds of policy areas</w:t>
      </w:r>
      <w:r w:rsidR="00107EAE">
        <w:t xml:space="preserve"> and </w:t>
      </w:r>
      <w:r w:rsidR="00107EAE" w:rsidRPr="00147AED">
        <w:t xml:space="preserve">thousands </w:t>
      </w:r>
      <w:r w:rsidR="0070710E" w:rsidRPr="00147AED">
        <w:t xml:space="preserve">of </w:t>
      </w:r>
      <w:r w:rsidR="00107EAE" w:rsidRPr="00147AED">
        <w:t>unique state policy adoptions</w:t>
      </w:r>
      <w:r w:rsidR="0038258E">
        <w:t xml:space="preserve"> to identify “latent diffusion ties,” or pathways new policies persistently take; in so doing the research identifies a state policy network with some states</w:t>
      </w:r>
      <w:r w:rsidR="00FC2D7B">
        <w:t xml:space="preserve"> </w:t>
      </w:r>
      <w:r w:rsidR="0038258E">
        <w:t xml:space="preserve">as sources for future policy adoptions.  Other scholars have leveraged unique public opinion data over time to identify which states are perceived as similar to each </w:t>
      </w:r>
      <w:r w:rsidR="0038258E" w:rsidRPr="00FC2D7B">
        <w:t>other;</w:t>
      </w:r>
      <w:r w:rsidR="0038258E">
        <w:t xml:space="preserve"> the result show that citizen perceptions play a much stronger role than geographic proximity in state policy diffusion over time (Bricker and LaCombe 2020).  </w:t>
      </w:r>
    </w:p>
    <w:p w14:paraId="62508D81" w14:textId="4C91A91E" w:rsidR="0038258E" w:rsidRDefault="00AB3532" w:rsidP="008E3E00">
      <w:pPr>
        <w:spacing w:after="0"/>
        <w:ind w:firstLine="720"/>
      </w:pPr>
      <w:r w:rsidRPr="00147AED">
        <w:t>Mallinson (2019) found that geographic contiguity’s influence has waned in the last few decades.</w:t>
      </w:r>
      <w:r>
        <w:t xml:space="preserve"> </w:t>
      </w:r>
      <w:r w:rsidR="0038258E">
        <w:rPr>
          <w:rFonts w:eastAsia="Times New Roman"/>
        </w:rPr>
        <w:t>Boushey (2010, 60-61)</w:t>
      </w:r>
      <w:r w:rsidR="0038258E" w:rsidRPr="00EF3913">
        <w:rPr>
          <w:rFonts w:eastAsia="Times New Roman"/>
        </w:rPr>
        <w:t xml:space="preserve"> </w:t>
      </w:r>
      <w:r w:rsidR="0038258E">
        <w:rPr>
          <w:rFonts w:eastAsia="Times New Roman"/>
        </w:rPr>
        <w:t>suggests that</w:t>
      </w:r>
      <w:r w:rsidR="0038258E" w:rsidRPr="00EF3913">
        <w:rPr>
          <w:rFonts w:eastAsia="Times New Roman"/>
        </w:rPr>
        <w:t xml:space="preserve"> changes in information and communications technologies may have sped up these diffusion processes</w:t>
      </w:r>
      <w:r w:rsidR="00FC2D7B">
        <w:rPr>
          <w:rFonts w:eastAsia="Times New Roman"/>
        </w:rPr>
        <w:t xml:space="preserve">, </w:t>
      </w:r>
      <w:r w:rsidR="00FC2D7B" w:rsidRPr="00147AED">
        <w:rPr>
          <w:rFonts w:eastAsia="Times New Roman"/>
        </w:rPr>
        <w:t>but he doesn’t directly test this</w:t>
      </w:r>
      <w:r w:rsidR="0038258E" w:rsidRPr="00147AED">
        <w:rPr>
          <w:rFonts w:eastAsia="Times New Roman"/>
        </w:rPr>
        <w:t>.</w:t>
      </w:r>
      <w:r w:rsidR="008E3E00">
        <w:t xml:space="preserve"> </w:t>
      </w:r>
      <w:r w:rsidR="000D7586">
        <w:rPr>
          <w:rFonts w:eastAsia="Times New Roman"/>
        </w:rPr>
        <w:t xml:space="preserve">While </w:t>
      </w:r>
      <w:r w:rsidR="000D7586">
        <w:rPr>
          <w:rFonts w:eastAsia="Times New Roman"/>
        </w:rPr>
        <w:lastRenderedPageBreak/>
        <w:t xml:space="preserve">we cannot directly test the </w:t>
      </w:r>
      <w:r w:rsidR="00FC2D7B">
        <w:rPr>
          <w:rFonts w:eastAsia="Times New Roman"/>
        </w:rPr>
        <w:t>processes</w:t>
      </w:r>
      <w:r w:rsidR="000D7586">
        <w:rPr>
          <w:rFonts w:eastAsia="Times New Roman"/>
        </w:rPr>
        <w:t xml:space="preserve"> by which broadband</w:t>
      </w:r>
      <w:r w:rsidR="00FC2D7B">
        <w:rPr>
          <w:rFonts w:eastAsia="Times New Roman"/>
        </w:rPr>
        <w:t xml:space="preserve"> </w:t>
      </w:r>
      <w:r w:rsidR="000D7586">
        <w:rPr>
          <w:rFonts w:eastAsia="Times New Roman"/>
        </w:rPr>
        <w:t xml:space="preserve">increases the flow of policy ideas, </w:t>
      </w:r>
      <w:r w:rsidR="007764F7">
        <w:rPr>
          <w:rFonts w:eastAsia="Times New Roman"/>
        </w:rPr>
        <w:t>prior research identifies many ways</w:t>
      </w:r>
      <w:r w:rsidR="000C6DCB">
        <w:rPr>
          <w:rFonts w:eastAsia="Times New Roman"/>
        </w:rPr>
        <w:t xml:space="preserve"> technology increases the volume, speed and reach of information.</w:t>
      </w:r>
      <w:r w:rsidR="0038258E">
        <w:rPr>
          <w:rFonts w:eastAsia="Times New Roman"/>
        </w:rPr>
        <w:t xml:space="preserve"> </w:t>
      </w:r>
      <w:r w:rsidR="0038258E" w:rsidRPr="00EF3913">
        <w:rPr>
          <w:rFonts w:eastAsia="Times New Roman"/>
        </w:rPr>
        <w:t xml:space="preserve">Over time, with advances in digital technologies and applications, we expect that that this may expand </w:t>
      </w:r>
      <w:r w:rsidR="0038258E">
        <w:rPr>
          <w:rFonts w:eastAsia="Times New Roman"/>
        </w:rPr>
        <w:t>state information</w:t>
      </w:r>
      <w:r w:rsidR="0038258E" w:rsidRPr="00EF3913">
        <w:rPr>
          <w:rFonts w:eastAsia="Times New Roman"/>
        </w:rPr>
        <w:t xml:space="preserve"> networks </w:t>
      </w:r>
      <w:r w:rsidR="0038258E">
        <w:rPr>
          <w:rFonts w:eastAsia="Times New Roman"/>
        </w:rPr>
        <w:t>for both the public and government officials</w:t>
      </w:r>
      <w:r w:rsidR="0038258E" w:rsidRPr="00EF3913">
        <w:rPr>
          <w:rFonts w:eastAsia="Times New Roman"/>
        </w:rPr>
        <w:t xml:space="preserve">.  </w:t>
      </w:r>
    </w:p>
    <w:p w14:paraId="35C3413D" w14:textId="77777777" w:rsidR="0038258E" w:rsidRPr="00DA541C" w:rsidRDefault="0038258E" w:rsidP="0038258E">
      <w:pPr>
        <w:spacing w:after="0"/>
        <w:rPr>
          <w:b/>
        </w:rPr>
      </w:pPr>
      <w:r>
        <w:rPr>
          <w:b/>
          <w:shd w:val="clear" w:color="auto" w:fill="FFFFFF"/>
        </w:rPr>
        <w:t>Research Hypotheses: Digital Information</w:t>
      </w:r>
      <w:r w:rsidRPr="00DA541C">
        <w:rPr>
          <w:b/>
          <w:shd w:val="clear" w:color="auto" w:fill="FFFFFF"/>
        </w:rPr>
        <w:t xml:space="preserve"> </w:t>
      </w:r>
      <w:r>
        <w:rPr>
          <w:b/>
          <w:shd w:val="clear" w:color="auto" w:fill="FFFFFF"/>
        </w:rPr>
        <w:t>&amp; State Policy</w:t>
      </w:r>
      <w:r w:rsidRPr="00DA541C">
        <w:rPr>
          <w:b/>
          <w:shd w:val="clear" w:color="auto" w:fill="FFFFFF"/>
        </w:rPr>
        <w:t xml:space="preserve"> </w:t>
      </w:r>
      <w:r>
        <w:rPr>
          <w:b/>
          <w:shd w:val="clear" w:color="auto" w:fill="FFFFFF"/>
        </w:rPr>
        <w:t>Adoptions</w:t>
      </w:r>
    </w:p>
    <w:p w14:paraId="4961FF60" w14:textId="40D05C74" w:rsidR="0038258E" w:rsidRDefault="0038258E" w:rsidP="0038258E">
      <w:pPr>
        <w:spacing w:after="0"/>
        <w:ind w:firstLine="720"/>
      </w:pPr>
      <w:r w:rsidRPr="006C5162">
        <w:rPr>
          <w:rFonts w:eastAsia="Times New Roman"/>
        </w:rPr>
        <w:t>Rising from less than 5% of the population with a home broadband</w:t>
      </w:r>
      <w:r>
        <w:rPr>
          <w:rFonts w:eastAsia="Times New Roman"/>
        </w:rPr>
        <w:t xml:space="preserve"> connection</w:t>
      </w:r>
      <w:r w:rsidRPr="006C5162">
        <w:rPr>
          <w:rFonts w:eastAsia="Times New Roman"/>
        </w:rPr>
        <w:t xml:space="preserve"> in 2000 to 85% in 2018 (combining wired or satellite home broadband 65% and cell phone only 20%, </w:t>
      </w:r>
      <w:r>
        <w:rPr>
          <w:rFonts w:eastAsia="Times New Roman"/>
        </w:rPr>
        <w:t>American Community Survey 2019</w:t>
      </w:r>
      <w:r w:rsidRPr="006C5162">
        <w:rPr>
          <w:rFonts w:eastAsia="Times New Roman"/>
        </w:rPr>
        <w:t xml:space="preserve">), the past two decades have </w:t>
      </w:r>
      <w:r w:rsidR="00783E66">
        <w:rPr>
          <w:rFonts w:eastAsia="Times New Roman"/>
        </w:rPr>
        <w:t>seen</w:t>
      </w:r>
      <w:r w:rsidRPr="006C5162">
        <w:rPr>
          <w:rFonts w:eastAsia="Times New Roman"/>
        </w:rPr>
        <w:t xml:space="preserve"> a dramatic transformation of </w:t>
      </w:r>
      <w:r w:rsidR="00FC2D7B">
        <w:rPr>
          <w:rFonts w:eastAsia="Times New Roman"/>
        </w:rPr>
        <w:t xml:space="preserve">digital </w:t>
      </w:r>
      <w:r w:rsidRPr="006C5162">
        <w:rPr>
          <w:rFonts w:eastAsia="Times New Roman"/>
        </w:rPr>
        <w:t>information access</w:t>
      </w:r>
      <w:r>
        <w:rPr>
          <w:rFonts w:eastAsia="Times New Roman"/>
        </w:rPr>
        <w:t>.</w:t>
      </w:r>
      <w:r>
        <w:rPr>
          <w:rStyle w:val="FootnoteReference"/>
          <w:rFonts w:eastAsia="Times New Roman"/>
        </w:rPr>
        <w:footnoteReference w:id="3"/>
      </w:r>
      <w:r w:rsidRPr="006C5162">
        <w:rPr>
          <w:rFonts w:eastAsia="Times New Roman"/>
        </w:rPr>
        <w:t xml:space="preserve"> </w:t>
      </w:r>
      <w:r w:rsidR="00FC2D7B">
        <w:rPr>
          <w:rFonts w:eastAsia="Times New Roman"/>
        </w:rPr>
        <w:t xml:space="preserve">The growth of broadband connectivity has been primarily due to private investment and infrastructure, not federal or state policy. </w:t>
      </w:r>
      <w:r w:rsidR="000C6DCB">
        <w:t xml:space="preserve">Widespread </w:t>
      </w:r>
      <w:r w:rsidR="000C6DCB" w:rsidRPr="006C5162">
        <w:t>internet</w:t>
      </w:r>
      <w:r w:rsidR="000C6DCB">
        <w:t xml:space="preserve"> use</w:t>
      </w:r>
      <w:r w:rsidR="000C6DCB" w:rsidRPr="006C5162">
        <w:t xml:space="preserve"> has made the flow of information much easier and faster </w:t>
      </w:r>
      <w:r w:rsidR="000C6DCB">
        <w:t xml:space="preserve">than in the past, increasing the ease of connecting not only policymakers, but advocates and citizens (see Boushey 2010).  </w:t>
      </w:r>
      <w:r>
        <w:t xml:space="preserve">For example, the Uniform Law Commission provides over 150 sample policies for states to use, as well as resources for states to learn about what other states and the federal government are adopting on the same topic. While 50 years ago the organization would have to send representatives to state legislatures to advocate for policies, they can now hold nationwide virtual conferences and provide instant updates about new policies and adoptions. </w:t>
      </w:r>
      <w:r w:rsidR="00734EF5" w:rsidRPr="00147AED">
        <w:t>Websites for the</w:t>
      </w:r>
      <w:r w:rsidR="00FC2D7B" w:rsidRPr="00147AED">
        <w:t xml:space="preserve"> NCSL</w:t>
      </w:r>
      <w:r w:rsidR="00734EF5" w:rsidRPr="00147AED">
        <w:t xml:space="preserve">, think-tanks, non-profits, </w:t>
      </w:r>
      <w:r w:rsidR="00FC2D7B" w:rsidRPr="00147AED">
        <w:t>departments of commerce, industry</w:t>
      </w:r>
      <w:r w:rsidR="00734EF5" w:rsidRPr="00147AED">
        <w:t xml:space="preserve"> organizations and more provide legislative search engines across extensive policy areas.</w:t>
      </w:r>
      <w:r w:rsidR="00734EF5">
        <w:t xml:space="preserve"> </w:t>
      </w:r>
      <w:r>
        <w:t>Not only do existing interest groups have lower organizational costs, but the growth of the internet has democratized the process of organizing interests, which facilitated a massive growth in self-organizing groups that can advocate without being dependent on traditional organized interests (Shirky 2008). The internet</w:t>
      </w:r>
      <w:r w:rsidRPr="006C5162">
        <w:t xml:space="preserve"> has change</w:t>
      </w:r>
      <w:r>
        <w:t>d</w:t>
      </w:r>
      <w:r w:rsidRPr="006C5162">
        <w:t xml:space="preserve"> how </w:t>
      </w:r>
      <w:r w:rsidRPr="006C5162">
        <w:lastRenderedPageBreak/>
        <w:t>information spreads from state to state by increasing the amount of information available, and greatly reducing the cost of finding new information.</w:t>
      </w:r>
      <w:r>
        <w:t xml:space="preserve"> </w:t>
      </w:r>
    </w:p>
    <w:p w14:paraId="4F8ED9F2" w14:textId="384ADFA1" w:rsidR="0038258E" w:rsidRPr="006C5162" w:rsidRDefault="0038258E" w:rsidP="0038258E">
      <w:pPr>
        <w:spacing w:after="0"/>
        <w:ind w:firstLine="720"/>
      </w:pPr>
      <w:r w:rsidRPr="006C5162">
        <w:t xml:space="preserve">This leads us to </w:t>
      </w:r>
      <w:r>
        <w:t>two</w:t>
      </w:r>
      <w:r w:rsidRPr="006C5162">
        <w:t xml:space="preserve"> predictions. First, as broadband </w:t>
      </w:r>
      <w:r>
        <w:t>subscription rates</w:t>
      </w:r>
      <w:r w:rsidRPr="006C5162">
        <w:t xml:space="preserve"> become more prevalent in a state, states </w:t>
      </w:r>
      <w:r>
        <w:t>receive</w:t>
      </w:r>
      <w:r w:rsidRPr="006C5162">
        <w:t xml:space="preserve"> substantially more information from citizens, interest groups, and other states. </w:t>
      </w:r>
      <w:r>
        <w:t xml:space="preserve">There is a greater diversity of ideas and sources of information, as well as rapid knowledge of developments elsewhere.  </w:t>
      </w:r>
      <w:r w:rsidRPr="006C5162">
        <w:t xml:space="preserve">This should result in states being more innovative. </w:t>
      </w:r>
    </w:p>
    <w:p w14:paraId="364BEB1C" w14:textId="77777777" w:rsidR="0038258E" w:rsidRPr="00DA541C" w:rsidRDefault="0038258E" w:rsidP="0038258E">
      <w:pPr>
        <w:pStyle w:val="NormalWeb"/>
        <w:spacing w:before="0" w:beforeAutospacing="0" w:after="0" w:afterAutospacing="0" w:line="480" w:lineRule="auto"/>
        <w:ind w:left="720"/>
      </w:pPr>
      <w:r w:rsidRPr="00DA541C">
        <w:rPr>
          <w:b/>
        </w:rPr>
        <w:t xml:space="preserve">Hypothesis </w:t>
      </w:r>
      <w:r>
        <w:rPr>
          <w:b/>
        </w:rPr>
        <w:t>1</w:t>
      </w:r>
      <w:r w:rsidRPr="00DA541C">
        <w:t xml:space="preserve">: States with higher </w:t>
      </w:r>
      <w:r>
        <w:t>broadband subscription rates</w:t>
      </w:r>
      <w:r w:rsidRPr="00DA541C">
        <w:t xml:space="preserve"> are more likely to adopt a policy on average.</w:t>
      </w:r>
    </w:p>
    <w:p w14:paraId="7C9F728F" w14:textId="55AF31F4" w:rsidR="0038258E" w:rsidRPr="00DA541C" w:rsidRDefault="0038258E" w:rsidP="0038258E">
      <w:pPr>
        <w:pStyle w:val="NormalWeb"/>
        <w:spacing w:before="0" w:beforeAutospacing="0" w:after="0" w:afterAutospacing="0" w:line="480" w:lineRule="auto"/>
      </w:pPr>
      <w:r w:rsidRPr="00DA541C">
        <w:tab/>
        <w:t>At the same time, broadband is expected to alter existing networks of information flows</w:t>
      </w:r>
      <w:r>
        <w:t xml:space="preserve">, by </w:t>
      </w:r>
      <w:r w:rsidRPr="00DA541C">
        <w:t>enabl</w:t>
      </w:r>
      <w:r>
        <w:t>ing</w:t>
      </w:r>
      <w:r w:rsidRPr="00DA541C">
        <w:t xml:space="preserve"> people to easily communicate </w:t>
      </w:r>
      <w:r>
        <w:t>across geographies</w:t>
      </w:r>
      <w:r w:rsidRPr="00DA541C">
        <w:t xml:space="preserve">. </w:t>
      </w:r>
      <w:r>
        <w:t>As the</w:t>
      </w:r>
      <w:r w:rsidRPr="00DA541C">
        <w:t xml:space="preserve"> cost to learn about what far away states are doing to tackle policy </w:t>
      </w:r>
      <w:r>
        <w:t>problems goes down</w:t>
      </w:r>
      <w:r w:rsidRPr="00DA541C">
        <w:t xml:space="preserve">, the role of geographic proximity should decrease. Citizens </w:t>
      </w:r>
      <w:r>
        <w:t xml:space="preserve">and elites </w:t>
      </w:r>
      <w:r w:rsidRPr="00DA541C">
        <w:t>can also be exposed to different policy changes through exposure on social media or other platforms and are more aware of what states across the country are doing than ever before</w:t>
      </w:r>
      <w:r w:rsidR="00D10582">
        <w:t xml:space="preserve"> (Hopkins 2018)</w:t>
      </w:r>
      <w:r w:rsidRPr="00DA541C">
        <w:t>.</w:t>
      </w:r>
      <w:r>
        <w:t xml:space="preserve"> This nationalized information environment should affect both voter and elite considerations away from local considerations and toward national issues (Trussler 2019)</w:t>
      </w:r>
      <w:r w:rsidR="00783E66">
        <w:t xml:space="preserve">, </w:t>
      </w:r>
      <w:r w:rsidR="00783E66" w:rsidRPr="00147AED">
        <w:t>which is expected to reduce the role of neighboring state adoptions (Mooney 2001</w:t>
      </w:r>
      <w:r w:rsidR="00734EF5" w:rsidRPr="00147AED">
        <w:t>; Mallinson 2019</w:t>
      </w:r>
      <w:r w:rsidR="00783E66" w:rsidRPr="00147AED">
        <w:t>)</w:t>
      </w:r>
      <w:r w:rsidRPr="00147AED">
        <w:t xml:space="preserve">. </w:t>
      </w:r>
      <w:r w:rsidR="005F446E" w:rsidRPr="00147AED">
        <w:t>The</w:t>
      </w:r>
      <w:r w:rsidRPr="00147AED">
        <w:t xml:space="preserve"> growth of broadband has not only nationalized the information environment but made it easier for interests to disseminate information across large distances, and dramatically reduced the costs </w:t>
      </w:r>
      <w:r w:rsidR="00EE76F7" w:rsidRPr="00147AED">
        <w:t>of forming</w:t>
      </w:r>
      <w:r w:rsidRPr="00147AED">
        <w:t xml:space="preserve"> advocacy groups on a national scale.</w:t>
      </w:r>
      <w:r>
        <w:t xml:space="preserve">  </w:t>
      </w:r>
    </w:p>
    <w:p w14:paraId="0BFACCB1" w14:textId="77777777" w:rsidR="0038258E" w:rsidRPr="00DA541C" w:rsidRDefault="0038258E" w:rsidP="0038258E">
      <w:pPr>
        <w:pStyle w:val="NormalWeb"/>
        <w:spacing w:before="0" w:beforeAutospacing="0" w:after="0" w:afterAutospacing="0" w:line="480" w:lineRule="auto"/>
        <w:ind w:left="720"/>
      </w:pPr>
      <w:r w:rsidRPr="00DA541C">
        <w:rPr>
          <w:b/>
        </w:rPr>
        <w:t xml:space="preserve">Hypothesis </w:t>
      </w:r>
      <w:r>
        <w:rPr>
          <w:b/>
        </w:rPr>
        <w:t>2</w:t>
      </w:r>
      <w:r w:rsidRPr="00DA541C">
        <w:rPr>
          <w:b/>
        </w:rPr>
        <w:t xml:space="preserve">: </w:t>
      </w:r>
      <w:r w:rsidRPr="00DA541C">
        <w:t xml:space="preserve">Higher broadband </w:t>
      </w:r>
      <w:r>
        <w:t>subscription rates</w:t>
      </w:r>
      <w:r w:rsidRPr="00DA541C">
        <w:t xml:space="preserve"> should reduce the effect of </w:t>
      </w:r>
      <w:r>
        <w:t>geographic proximity</w:t>
      </w:r>
      <w:r w:rsidRPr="00DA541C">
        <w:t xml:space="preserve"> on </w:t>
      </w:r>
      <w:r>
        <w:t xml:space="preserve">state </w:t>
      </w:r>
      <w:r w:rsidRPr="00DA541C">
        <w:t>policy innovation</w:t>
      </w:r>
      <w:r>
        <w:t xml:space="preserve"> over time</w:t>
      </w:r>
      <w:r w:rsidRPr="00DA541C">
        <w:t xml:space="preserve">. </w:t>
      </w:r>
    </w:p>
    <w:p w14:paraId="2F8B55C7" w14:textId="77777777" w:rsidR="0038258E" w:rsidRDefault="0038258E" w:rsidP="0038258E">
      <w:pPr>
        <w:spacing w:after="0"/>
        <w:rPr>
          <w:b/>
        </w:rPr>
      </w:pPr>
      <w:r>
        <w:rPr>
          <w:b/>
        </w:rPr>
        <w:t>Research Design</w:t>
      </w:r>
    </w:p>
    <w:p w14:paraId="0F6684F8" w14:textId="5C148B52" w:rsidR="0038258E" w:rsidRDefault="0038258E" w:rsidP="0038258E">
      <w:pPr>
        <w:spacing w:after="0"/>
        <w:ind w:firstLine="720"/>
      </w:pPr>
      <w:r>
        <w:lastRenderedPageBreak/>
        <w:t xml:space="preserve">While single policy analyses play </w:t>
      </w:r>
      <w:r w:rsidRPr="00147AED">
        <w:t>an important role in identifying diffusion processes</w:t>
      </w:r>
      <w:r w:rsidR="00FC2D7B" w:rsidRPr="00147AED">
        <w:t xml:space="preserve"> and </w:t>
      </w:r>
      <w:r w:rsidR="00147AED" w:rsidRPr="00147AED">
        <w:t>mechanisms</w:t>
      </w:r>
      <w:r w:rsidRPr="00147AED">
        <w:t xml:space="preserve">, they come at the cost of potentially being a function of the </w:t>
      </w:r>
      <w:r w:rsidR="00EF14D0" w:rsidRPr="00147AED">
        <w:t xml:space="preserve">specific </w:t>
      </w:r>
      <w:r w:rsidRPr="00147AED">
        <w:t xml:space="preserve">policy being tested, which </w:t>
      </w:r>
      <w:r w:rsidR="00362F0C" w:rsidRPr="00147AED">
        <w:t>may lead to</w:t>
      </w:r>
      <w:r w:rsidRPr="00147AED">
        <w:t xml:space="preserve"> idiosyncratic</w:t>
      </w:r>
      <w:r w:rsidR="00362F0C" w:rsidRPr="00147AED">
        <w:t xml:space="preserve"> findings</w:t>
      </w:r>
      <w:r w:rsidRPr="00147AED">
        <w:t xml:space="preserve">.  </w:t>
      </w:r>
      <w:r w:rsidR="00362F0C" w:rsidRPr="00147AED">
        <w:t>Seeking more generalizable results, our</w:t>
      </w:r>
      <w:r w:rsidRPr="00147AED">
        <w:t xml:space="preserve"> study uses a much larger dataset of state policy adoption</w:t>
      </w:r>
      <w:r w:rsidR="00362F0C" w:rsidRPr="00147AED">
        <w:t>s</w:t>
      </w:r>
      <w:r w:rsidRPr="00147AED">
        <w:t xml:space="preserve"> to test how broadband systematically affects the diffusion of policies across </w:t>
      </w:r>
      <w:r w:rsidR="00362F0C" w:rsidRPr="00147AED">
        <w:t>issue areas</w:t>
      </w:r>
      <w:r w:rsidRPr="00147AED">
        <w:rPr>
          <w:rStyle w:val="FootnoteReference"/>
        </w:rPr>
        <w:footnoteReference w:id="4"/>
      </w:r>
      <w:r w:rsidRPr="00147AED">
        <w:t>.</w:t>
      </w:r>
      <w:r>
        <w:t xml:space="preserve"> To test our hypotheses, we use the</w:t>
      </w:r>
      <w:r w:rsidRPr="00DA541C">
        <w:t xml:space="preserve"> State Policy Innovation and Diffusion Dataset (SPID)</w:t>
      </w:r>
      <w:r w:rsidR="00580B87">
        <w:t xml:space="preserve"> </w:t>
      </w:r>
      <w:r>
        <w:t>(</w:t>
      </w:r>
      <w:r w:rsidRPr="00DA541C">
        <w:t>Boehmke et al 20</w:t>
      </w:r>
      <w:r>
        <w:t>20</w:t>
      </w:r>
      <w:r w:rsidRPr="00DA541C">
        <w:t xml:space="preserve">). These data include information on thousands of policy adoptions on hundreds of policies in all </w:t>
      </w:r>
      <w:r>
        <w:t>50</w:t>
      </w:r>
      <w:r w:rsidRPr="00DA541C">
        <w:t xml:space="preserve"> states across a variety of policy areas</w:t>
      </w:r>
      <w:r>
        <w:t xml:space="preserve"> from the 1800s through 2016. When merged with broadband subscription data, we examine</w:t>
      </w:r>
      <w:r w:rsidRPr="00DA541C">
        <w:t xml:space="preserve"> over 1,</w:t>
      </w:r>
      <w:r w:rsidRPr="00147AED">
        <w:t>600 adoptions of 105 policies, and over 26,000 total policy-state-year observations from 2000 to 2016. This larger dataset of policies provides more confidence that the findings are not a due to outlier policy issue</w:t>
      </w:r>
      <w:r w:rsidR="00580B87" w:rsidRPr="00147AED">
        <w:t>s</w:t>
      </w:r>
      <w:r w:rsidRPr="00147AED">
        <w:t xml:space="preserve">, but rather reflect the broader diffusion environment. The dependent variable is a binary measure of whether a state adopted a policy in a </w:t>
      </w:r>
      <w:r w:rsidR="00580B87" w:rsidRPr="00147AED">
        <w:t xml:space="preserve">given </w:t>
      </w:r>
      <w:r w:rsidRPr="00147AED">
        <w:t>year.</w:t>
      </w:r>
    </w:p>
    <w:p w14:paraId="6B07D11E" w14:textId="465F8637" w:rsidR="0038258E" w:rsidRPr="00DA541C" w:rsidRDefault="0038258E" w:rsidP="0038258E">
      <w:pPr>
        <w:spacing w:after="0"/>
        <w:ind w:firstLine="720"/>
      </w:pPr>
      <w:r>
        <w:t>Our key independent variable is a measure of</w:t>
      </w:r>
      <w:r w:rsidRPr="00DA541C">
        <w:t xml:space="preserve"> broadband</w:t>
      </w:r>
      <w:r>
        <w:t xml:space="preserve"> subscription rates </w:t>
      </w:r>
      <w:r w:rsidRPr="00DA541C">
        <w:t>in the states from 2000-201</w:t>
      </w:r>
      <w:r>
        <w:t>6</w:t>
      </w:r>
      <w:r w:rsidRPr="00DA541C">
        <w:t xml:space="preserve"> from the American Community Survey and Current Population Survey</w:t>
      </w:r>
      <w:r>
        <w:t xml:space="preserve"> (including this both mobile and fixed high-speed internet connections)</w:t>
      </w:r>
      <w:r w:rsidRPr="00DA541C">
        <w:t>.</w:t>
      </w:r>
      <w:r>
        <w:rPr>
          <w:rStyle w:val="FootnoteReference"/>
        </w:rPr>
        <w:footnoteReference w:id="5"/>
      </w:r>
      <w:r w:rsidRPr="00DA541C">
        <w:t xml:space="preserve"> </w:t>
      </w:r>
      <w:r>
        <w:t xml:space="preserve">A broadband connection is defined as </w:t>
      </w:r>
      <w:r w:rsidRPr="0067685F">
        <w:t>“</w:t>
      </w:r>
      <w:r w:rsidRPr="0067685F">
        <w:rPr>
          <w:color w:val="222222"/>
          <w:shd w:val="clear" w:color="auto" w:fill="FFFFFF"/>
        </w:rPr>
        <w:t>having at least one type of </w:t>
      </w:r>
      <w:r w:rsidR="00FC2D7B" w:rsidRPr="00147AED">
        <w:rPr>
          <w:color w:val="222222"/>
          <w:shd w:val="clear" w:color="auto" w:fill="FFFFFF"/>
        </w:rPr>
        <w:t>i</w:t>
      </w:r>
      <w:r w:rsidRPr="00147AED">
        <w:rPr>
          <w:color w:val="222222"/>
          <w:shd w:val="clear" w:color="auto" w:fill="FFFFFF"/>
        </w:rPr>
        <w:t>nternet subscription other than a dial-up subscription alone” (Ryan 2018).</w:t>
      </w:r>
      <w:r w:rsidRPr="00147AED">
        <w:rPr>
          <w:rFonts w:ascii="Arial" w:hAnsi="Arial" w:cs="Arial"/>
          <w:color w:val="222222"/>
          <w:shd w:val="clear" w:color="auto" w:fill="FFFFFF"/>
        </w:rPr>
        <w:t xml:space="preserve"> </w:t>
      </w:r>
      <w:r w:rsidRPr="00147AED">
        <w:t xml:space="preserve">Figure 1 shows the distribution of broadband subscription rates in the states over time. In the first time point, 2000, no state has more than 10% broadband usage rates. Subscription rates quickly rise to between 25-50% of the population having broadband subscriptions in 2005, and then to every state having over 60% subscriptions by 2015. </w:t>
      </w:r>
      <w:r w:rsidRPr="00147AED">
        <w:rPr>
          <w:b/>
        </w:rPr>
        <w:t xml:space="preserve"> </w:t>
      </w:r>
      <w:r w:rsidRPr="00147AED">
        <w:t xml:space="preserve">While access to the internet has rapidly spread across the entire country, there are still large differences </w:t>
      </w:r>
      <w:r w:rsidRPr="00147AED">
        <w:lastRenderedPageBreak/>
        <w:t>between the states, with gaps up to 25% between t</w:t>
      </w:r>
      <w:r>
        <w:t xml:space="preserve">he states with the highest and lowest rates of broadband subscription. </w:t>
      </w:r>
    </w:p>
    <w:p w14:paraId="25EE607D" w14:textId="77777777" w:rsidR="0038258E" w:rsidRPr="00DA541C" w:rsidRDefault="0038258E" w:rsidP="0038258E">
      <w:pPr>
        <w:spacing w:after="0"/>
        <w:ind w:firstLine="720"/>
      </w:pPr>
      <w:r>
        <w:t>An event h</w:t>
      </w:r>
      <w:r w:rsidRPr="00DD60D1">
        <w:t xml:space="preserve">istory </w:t>
      </w:r>
      <w:r>
        <w:t>a</w:t>
      </w:r>
      <w:r w:rsidRPr="00DD60D1">
        <w:t>nalysis (</w:t>
      </w:r>
      <w:r>
        <w:t>EHA</w:t>
      </w:r>
      <w:r w:rsidRPr="00DD60D1">
        <w:t xml:space="preserve">) is used to estimate the probability of a state adopting a policy </w:t>
      </w:r>
      <w:r>
        <w:t xml:space="preserve">over time, which allows us to model both the external and internal determinants of policy adoption </w:t>
      </w:r>
      <w:r w:rsidRPr="00DA541C">
        <w:t>(Berry and Berry 1990). A state becomes at risk of adopting a policy after any state adopts a given policy</w:t>
      </w:r>
      <w:r>
        <w:t xml:space="preserve">. </w:t>
      </w:r>
      <w:r w:rsidRPr="00DA541C">
        <w:t xml:space="preserve">So, if </w:t>
      </w:r>
      <w:r>
        <w:t>California</w:t>
      </w:r>
      <w:r w:rsidRPr="00DA541C">
        <w:t xml:space="preserve"> adopts a policy,</w:t>
      </w:r>
      <w:r>
        <w:t xml:space="preserve"> such as the coronavirus “stay-at-home order/self-quarantine,” </w:t>
      </w:r>
      <w:r w:rsidRPr="00DA541C">
        <w:t xml:space="preserve">the other 49 states become at risk of adopting that policy each year until they adopt the policy. Once a state adopts a policy it drops out of the risk set as it is no longer at risk of adopting the policy. Each policy has its own risk set, and an event history analysis models the probability of a state adopting a policy in a given year. </w:t>
      </w:r>
      <w:r>
        <w:t>We use an alteration of the EHA called the pooled event history analysis (PEHA) that follows</w:t>
      </w:r>
      <w:r w:rsidRPr="00DA541C">
        <w:t xml:space="preserve"> Kreizter and Boehmke’s approach to pooling risk sets by including random intercepts for each policy (2016)</w:t>
      </w:r>
      <w:r>
        <w:t>; t</w:t>
      </w:r>
      <w:r w:rsidRPr="00DA541C">
        <w:t>his method allows for pooling findings into a single, unified model while also recognizing that each policy as a distinct baseline probability of adoption.</w:t>
      </w:r>
      <w:r>
        <w:rPr>
          <w:rStyle w:val="FootnoteReference"/>
        </w:rPr>
        <w:footnoteReference w:id="6"/>
      </w:r>
    </w:p>
    <w:p w14:paraId="2D75B87C" w14:textId="797BF09F" w:rsidR="00556C39" w:rsidRDefault="0038258E" w:rsidP="0038258E">
      <w:pPr>
        <w:spacing w:after="0"/>
        <w:ind w:firstLine="720"/>
      </w:pPr>
      <w:r>
        <w:t xml:space="preserve">The </w:t>
      </w:r>
      <w:r w:rsidRPr="00DA541C">
        <w:t xml:space="preserve">key independent variable is a measure of the </w:t>
      </w:r>
      <w:r w:rsidRPr="00F76EA6">
        <w:t xml:space="preserve">proportion of households </w:t>
      </w:r>
      <w:r w:rsidRPr="00DA541C">
        <w:t xml:space="preserve">that have broadband subscriptions in a state. </w:t>
      </w:r>
      <w:r>
        <w:t>The</w:t>
      </w:r>
      <w:r w:rsidRPr="00DA541C">
        <w:t xml:space="preserve"> first model includes this variable in a typical model of </w:t>
      </w:r>
      <w:r w:rsidR="00951681" w:rsidRPr="00147AED">
        <w:t xml:space="preserve">state </w:t>
      </w:r>
      <w:r w:rsidRPr="00147AED">
        <w:t>policy diffusion, with internal controls for legislative professionalism (Squire 2007</w:t>
      </w:r>
      <w:r w:rsidRPr="00147AED">
        <w:rPr>
          <w:rStyle w:val="FootnoteReference"/>
        </w:rPr>
        <w:footnoteReference w:id="7"/>
      </w:r>
      <w:r w:rsidRPr="00147AED">
        <w:t xml:space="preserve">), </w:t>
      </w:r>
      <w:r w:rsidR="00951681" w:rsidRPr="00147AED">
        <w:t xml:space="preserve">median </w:t>
      </w:r>
      <w:r w:rsidRPr="00147AED">
        <w:t xml:space="preserve">income per capita, state population, percent </w:t>
      </w:r>
      <w:r w:rsidR="00FC2D7B" w:rsidRPr="00147AED">
        <w:t>B</w:t>
      </w:r>
      <w:r w:rsidRPr="00147AED">
        <w:t>lack</w:t>
      </w:r>
      <w:r w:rsidR="00FC2D7B" w:rsidRPr="00147AED">
        <w:t xml:space="preserve"> </w:t>
      </w:r>
      <w:r w:rsidRPr="00147AED">
        <w:t>in the population,</w:t>
      </w:r>
      <w:r w:rsidRPr="00147AED">
        <w:rPr>
          <w:rStyle w:val="FootnoteReference"/>
        </w:rPr>
        <w:footnoteReference w:id="8"/>
      </w:r>
      <w:r w:rsidR="00D227FB" w:rsidRPr="00147AED">
        <w:t xml:space="preserve"> </w:t>
      </w:r>
      <w:r w:rsidRPr="00147AED">
        <w:t xml:space="preserve">a measure of unified party control, and public opinion </w:t>
      </w:r>
      <w:r w:rsidR="00D227FB" w:rsidRPr="00147AED">
        <w:t xml:space="preserve">ideological </w:t>
      </w:r>
      <w:r w:rsidRPr="00147AED">
        <w:t>liberalism</w:t>
      </w:r>
      <w:r w:rsidR="00C432FD">
        <w:t xml:space="preserve"> using Caughey and Warshaw’s </w:t>
      </w:r>
      <w:r w:rsidR="008039EC">
        <w:t xml:space="preserve">(2018) </w:t>
      </w:r>
      <w:r w:rsidR="00C432FD">
        <w:t>measure of</w:t>
      </w:r>
      <w:r w:rsidR="008039EC">
        <w:t xml:space="preserve"> mass public liberalism generated from a </w:t>
      </w:r>
      <w:r w:rsidR="00B86784">
        <w:t>hundreds</w:t>
      </w:r>
      <w:r w:rsidR="008039EC">
        <w:t xml:space="preserve"> of </w:t>
      </w:r>
      <w:r w:rsidR="00B86784">
        <w:t xml:space="preserve">public opinion </w:t>
      </w:r>
      <w:r w:rsidR="008039EC">
        <w:t>surveys</w:t>
      </w:r>
      <w:r w:rsidRPr="00147AED">
        <w:t xml:space="preserve">. </w:t>
      </w:r>
      <w:r w:rsidRPr="00147AED">
        <w:lastRenderedPageBreak/>
        <w:t xml:space="preserve">Year fixed effects are used to account for year specific effects and a cubic polynomial for duration accounts </w:t>
      </w:r>
      <w:r w:rsidR="00E9496B" w:rsidRPr="00147AED">
        <w:t>for the</w:t>
      </w:r>
      <w:r w:rsidRPr="00147AED">
        <w:t xml:space="preserve"> time a state has been at risk of adopting a policy.</w:t>
      </w:r>
      <w:r w:rsidRPr="00147AED">
        <w:rPr>
          <w:rStyle w:val="FootnoteReference"/>
        </w:rPr>
        <w:footnoteReference w:id="9"/>
      </w:r>
      <w:r w:rsidR="0002435E" w:rsidRPr="00147AED">
        <w:t xml:space="preserve"> </w:t>
      </w:r>
      <w:r w:rsidR="005728D0" w:rsidRPr="00147AED">
        <w:t>Ideological polarization could lead states to take up new policies more quickly and be less reliant on geographic neighbors. To address this concern, we</w:t>
      </w:r>
      <w:r w:rsidR="0002435E" w:rsidRPr="00147AED">
        <w:t xml:space="preserve"> include a measure for the sum of the ideological distance</w:t>
      </w:r>
      <w:r w:rsidR="00E9496B" w:rsidRPr="00147AED">
        <w:t xml:space="preserve"> (using Caughey and Warshaw’s (201</w:t>
      </w:r>
      <w:r w:rsidR="008039EC">
        <w:t>8</w:t>
      </w:r>
      <w:r w:rsidR="00E9496B" w:rsidRPr="00147AED">
        <w:t>) measure of policy liberalism)</w:t>
      </w:r>
      <w:r w:rsidR="0002435E" w:rsidRPr="00147AED">
        <w:t xml:space="preserve"> between a state and previously adopting states to control for the influence of ideological proximity</w:t>
      </w:r>
      <w:r w:rsidR="005728D0" w:rsidRPr="00147AED">
        <w:t>;</w:t>
      </w:r>
      <w:r w:rsidR="00B66473" w:rsidRPr="00147AED">
        <w:t xml:space="preserve"> larger values represent larger ideological differences</w:t>
      </w:r>
      <w:r w:rsidR="0002435E" w:rsidRPr="00147AED">
        <w:t xml:space="preserve">. </w:t>
      </w:r>
    </w:p>
    <w:p w14:paraId="02569FBC" w14:textId="75FCA087" w:rsidR="0038258E" w:rsidRDefault="0038258E" w:rsidP="0038258E">
      <w:pPr>
        <w:spacing w:after="0"/>
        <w:ind w:firstLine="720"/>
      </w:pPr>
      <w:r>
        <w:t xml:space="preserve">We include two measures for external influences on adoption, the first being a lagged count of neighboring states that previously adopted a policy. </w:t>
      </w:r>
      <w:r w:rsidRPr="00D85934">
        <w:t>The second is Desmarais et al’s (2015) measure of decayed latent diffusion ties, which is an inferred network using previous policy adoptions to identify pathways in which policies</w:t>
      </w:r>
      <w:r>
        <w:t xml:space="preserve"> persistently flow as they diffuse through the states. This is a powerful predictor of policy adoption that measures what states are </w:t>
      </w:r>
      <w:r w:rsidR="00DB118D">
        <w:t>frequently</w:t>
      </w:r>
      <w:r>
        <w:t xml:space="preserve"> looked at for policy ideas. Once </w:t>
      </w:r>
      <w:r w:rsidRPr="00147AED">
        <w:t>the</w:t>
      </w:r>
      <w:r>
        <w:t xml:space="preserve"> pathways have been established states continue to look to these source states for future policy solutions.  </w:t>
      </w:r>
    </w:p>
    <w:p w14:paraId="503A9E93" w14:textId="77777777" w:rsidR="0038258E" w:rsidRPr="00E73F2F" w:rsidRDefault="0038258E" w:rsidP="0038258E">
      <w:pPr>
        <w:spacing w:after="0"/>
        <w:rPr>
          <w:b/>
        </w:rPr>
      </w:pPr>
      <w:r w:rsidRPr="00E73F2F">
        <w:rPr>
          <w:b/>
        </w:rPr>
        <w:t>Results</w:t>
      </w:r>
    </w:p>
    <w:p w14:paraId="73E25ED8" w14:textId="6BFBCE4F" w:rsidR="0038258E" w:rsidRDefault="0038258E" w:rsidP="0038258E">
      <w:pPr>
        <w:spacing w:after="0"/>
        <w:ind w:firstLine="720"/>
      </w:pPr>
      <w:r>
        <w:t xml:space="preserve">The </w:t>
      </w:r>
      <w:r w:rsidR="00147AED" w:rsidRPr="00147AED">
        <w:t>logi</w:t>
      </w:r>
      <w:r w:rsidR="009F689D">
        <w:t>s</w:t>
      </w:r>
      <w:r w:rsidR="00147AED" w:rsidRPr="00147AED">
        <w:t>t</w:t>
      </w:r>
      <w:r w:rsidR="009F689D">
        <w:t>ic regression</w:t>
      </w:r>
      <w:r w:rsidR="00DB118D" w:rsidRPr="00147AED">
        <w:t xml:space="preserve"> </w:t>
      </w:r>
      <w:r w:rsidRPr="00147AED">
        <w:t>coefficients</w:t>
      </w:r>
      <w:r>
        <w:t xml:space="preserve"> in table 1 (model 1) show how broadband subscription rates are associated with policy adoption from 2000-2016. </w:t>
      </w:r>
      <w:r w:rsidRPr="00DA541C">
        <w:t xml:space="preserve">The results show that both </w:t>
      </w:r>
      <w:r w:rsidR="00DB118D">
        <w:t>share borders/geographic continuity</w:t>
      </w:r>
      <w:r w:rsidRPr="00DA541C">
        <w:t xml:space="preserve"> and latent </w:t>
      </w:r>
      <w:r>
        <w:t xml:space="preserve">diffusion ties </w:t>
      </w:r>
      <w:r w:rsidR="00680969">
        <w:t xml:space="preserve">positively </w:t>
      </w:r>
      <w:r w:rsidRPr="00DA541C">
        <w:t>predict policy innovation</w:t>
      </w:r>
      <w:r w:rsidR="00DB118D">
        <w:t xml:space="preserve"> over time</w:t>
      </w:r>
      <w:r>
        <w:t xml:space="preserve">, consistent with </w:t>
      </w:r>
      <w:r w:rsidR="002738C7">
        <w:t xml:space="preserve">much of the </w:t>
      </w:r>
      <w:r>
        <w:t xml:space="preserve">previous </w:t>
      </w:r>
      <w:r w:rsidR="00DB118D">
        <w:t>literature</w:t>
      </w:r>
      <w:r w:rsidR="002738C7">
        <w:t>.</w:t>
      </w:r>
      <w:r w:rsidRPr="00DA541C">
        <w:t xml:space="preserve"> States are more likely to adopt a policy as the number of contiguous state adoptions increase, and as more states with latent ties adopt that policy. The only </w:t>
      </w:r>
      <w:r w:rsidR="00DB118D">
        <w:t xml:space="preserve">statistically </w:t>
      </w:r>
      <w:r w:rsidRPr="00DA541C">
        <w:t>significant controls are income per capita</w:t>
      </w:r>
      <w:r w:rsidR="00680969">
        <w:t xml:space="preserve"> and</w:t>
      </w:r>
      <w:r>
        <w:t xml:space="preserve"> </w:t>
      </w:r>
      <w:r w:rsidRPr="00DA541C">
        <w:lastRenderedPageBreak/>
        <w:t>legislative professionalism</w:t>
      </w:r>
      <w:r>
        <w:rPr>
          <w:rStyle w:val="FootnoteReference"/>
        </w:rPr>
        <w:footnoteReference w:id="10"/>
      </w:r>
      <w:r>
        <w:t xml:space="preserve">. The </w:t>
      </w:r>
      <w:r w:rsidRPr="00DA541C">
        <w:t xml:space="preserve">key independent variable, </w:t>
      </w:r>
      <w:r>
        <w:t>digital information access as proxied by broadband subscription</w:t>
      </w:r>
      <w:r w:rsidRPr="00DA541C">
        <w:t xml:space="preserve">, also </w:t>
      </w:r>
      <w:r w:rsidR="00680969">
        <w:t>is associated with a higher</w:t>
      </w:r>
      <w:r w:rsidRPr="00DA541C">
        <w:t xml:space="preserve"> probability of a state adopting a policy. These results support our first hypothesis that broadband </w:t>
      </w:r>
      <w:r>
        <w:t>access and use</w:t>
      </w:r>
      <w:r w:rsidRPr="00DA541C">
        <w:t xml:space="preserve"> increases innovativeness</w:t>
      </w:r>
      <w:r>
        <w:t xml:space="preserve"> across the state over time</w:t>
      </w:r>
      <w:r w:rsidRPr="00DA541C">
        <w:t xml:space="preserve">. </w:t>
      </w:r>
    </w:p>
    <w:p w14:paraId="4E5D7576" w14:textId="6BA8182D" w:rsidR="0038258E" w:rsidRPr="00DA541C" w:rsidRDefault="0038258E" w:rsidP="0038258E">
      <w:pPr>
        <w:spacing w:after="0"/>
        <w:ind w:firstLine="720"/>
      </w:pPr>
      <w:r>
        <w:t>As a comparison, model 2 (table 1) replicates the analysis for the earlier time period (1980-1999) as a control condition omitting broadband. It shows the counter-factual condition before the introduction of high-speed internet access. Without including a measure of digital information access the effect size for latent network ties and geographic continuity (neighboring states) are similar. Model 3 pools data for the complete time period (1980-2016) with broadband subscriptions set to zero before 2000</w:t>
      </w:r>
      <w:r w:rsidR="00B56AAD">
        <w:t xml:space="preserve">. </w:t>
      </w:r>
      <w:r>
        <w:t xml:space="preserve">Broadband subscriptions remain a powerful predictor of policy adoptions, controlling for standard predictors of policy diffusion, including geographic continuity, latent ties, population size, liberal public opinion and more educated populations. The effect size remains large.  </w:t>
      </w:r>
    </w:p>
    <w:p w14:paraId="07AF6B21" w14:textId="2714C8BF" w:rsidR="00DB118D" w:rsidRDefault="0038258E" w:rsidP="008C285D">
      <w:pPr>
        <w:spacing w:after="0"/>
        <w:ind w:firstLine="720"/>
      </w:pPr>
      <w:r w:rsidRPr="00DA541C">
        <w:t xml:space="preserve">Figure </w:t>
      </w:r>
      <w:r>
        <w:t>2</w:t>
      </w:r>
      <w:r w:rsidRPr="00DA541C">
        <w:t xml:space="preserve"> shows the predicted </w:t>
      </w:r>
      <w:r>
        <w:t>probability of a state adopting a new policy in any given year</w:t>
      </w:r>
      <w:r w:rsidRPr="00DA541C">
        <w:t xml:space="preserve"> at different </w:t>
      </w:r>
      <w:r>
        <w:t>rates</w:t>
      </w:r>
      <w:r w:rsidRPr="00DA541C">
        <w:t xml:space="preserve"> of broadband </w:t>
      </w:r>
      <w:r>
        <w:t>subscriptions</w:t>
      </w:r>
      <w:r w:rsidR="00B56AAD">
        <w:t xml:space="preserve"> using the results from model 1</w:t>
      </w:r>
      <w:r w:rsidRPr="00DA541C">
        <w:t>. As the percentage of the population with broadband increases</w:t>
      </w:r>
      <w:r>
        <w:t xml:space="preserve"> (across states and over time)</w:t>
      </w:r>
      <w:r w:rsidRPr="00DA541C">
        <w:t xml:space="preserve">, so does the probability of a state innovating.  The effect is substantively very large. The probability of innovation more than doubles from less than a 5% probability of adoption to over a 10% probability as a state’s population goes from low to high levels of broadband subscriptions. A roughly 10% increase in broadband subscription results in a 1% increase the probability of adoption. </w:t>
      </w:r>
      <w:r>
        <w:t xml:space="preserve">An increase of 1% is substantively very large when considering that the baseline </w:t>
      </w:r>
      <w:r>
        <w:lastRenderedPageBreak/>
        <w:t>probability of adopting a policy in any given year is just under 5%</w:t>
      </w:r>
      <w:r w:rsidR="00B56AAD">
        <w:t>,</w:t>
      </w:r>
      <w:r>
        <w:t xml:space="preserve"> particularly considering when the increase compounds each year. So, a 10% increase in broadband subscription rates increases the baseline probability of adoption by roughly 20%</w:t>
      </w:r>
      <w:r w:rsidR="002738C7">
        <w:t>, and these positive effects compound over time.</w:t>
      </w:r>
      <w:r w:rsidR="008C285D">
        <w:rPr>
          <w:rStyle w:val="FootnoteReference"/>
        </w:rPr>
        <w:footnoteReference w:id="11"/>
      </w:r>
      <w:r w:rsidR="00147AED">
        <w:t xml:space="preserve"> </w:t>
      </w:r>
      <w:r w:rsidR="00DB118D" w:rsidRPr="00DA541C">
        <w:t xml:space="preserve">Our next set of models is the same specification, but with an interaction between broadband and previous contiguous state adoptions. This </w:t>
      </w:r>
      <w:r w:rsidR="00DB118D">
        <w:t>interaction allows</w:t>
      </w:r>
      <w:r w:rsidR="00DB118D" w:rsidRPr="00DA541C">
        <w:t xml:space="preserve"> </w:t>
      </w:r>
      <w:r w:rsidR="00DB118D">
        <w:t xml:space="preserve">a </w:t>
      </w:r>
      <w:r w:rsidR="00DB118D" w:rsidRPr="00DA541C">
        <w:t xml:space="preserve">test if </w:t>
      </w:r>
      <w:r w:rsidR="00DB118D">
        <w:t xml:space="preserve">increased broadband subscriptions </w:t>
      </w:r>
      <w:r w:rsidR="00DB118D" w:rsidRPr="00DA541C">
        <w:t>moderates the effect of contiguity on policy innovation</w:t>
      </w:r>
      <w:r w:rsidR="00DB118D">
        <w:t>.</w:t>
      </w:r>
      <w:r w:rsidR="00DB118D" w:rsidRPr="00DA541C">
        <w:t xml:space="preserve"> </w:t>
      </w:r>
    </w:p>
    <w:p w14:paraId="4EB2BC1E" w14:textId="3CA84A16" w:rsidR="0038258E" w:rsidRDefault="0038258E" w:rsidP="0038258E">
      <w:pPr>
        <w:spacing w:after="0"/>
        <w:ind w:firstLine="720"/>
      </w:pPr>
      <w:r w:rsidRPr="00DA541C">
        <w:t xml:space="preserve">The results in table </w:t>
      </w:r>
      <w:r>
        <w:t>2</w:t>
      </w:r>
      <w:r w:rsidRPr="00DA541C">
        <w:t xml:space="preserve"> </w:t>
      </w:r>
      <w:r w:rsidR="00DB118D">
        <w:t xml:space="preserve">include the </w:t>
      </w:r>
      <w:r w:rsidRPr="00DA541C">
        <w:t xml:space="preserve">interaction between </w:t>
      </w:r>
      <w:r>
        <w:t xml:space="preserve">geographic </w:t>
      </w:r>
      <w:r w:rsidRPr="00DA541C">
        <w:t>contiguity and broadband subscriptions</w:t>
      </w:r>
      <w:r>
        <w:t xml:space="preserve"> to test hypothesis two</w:t>
      </w:r>
      <w:r w:rsidRPr="00DA541C">
        <w:t xml:space="preserve">. </w:t>
      </w:r>
      <w:r>
        <w:t>As</w:t>
      </w:r>
      <w:r w:rsidRPr="00DA541C">
        <w:t xml:space="preserve"> in the previous </w:t>
      </w:r>
      <w:r>
        <w:t>table</w:t>
      </w:r>
      <w:r w:rsidRPr="00DA541C">
        <w:t xml:space="preserve">, both </w:t>
      </w:r>
      <w:r w:rsidR="002738C7">
        <w:t xml:space="preserve">base terms for </w:t>
      </w:r>
      <w:r w:rsidRPr="00DA541C">
        <w:t>broadband subscription</w:t>
      </w:r>
      <w:r w:rsidR="002738C7">
        <w:t xml:space="preserve"> rates</w:t>
      </w:r>
      <w:r w:rsidRPr="00DA541C">
        <w:t xml:space="preserve"> and contiguous adoptions </w:t>
      </w:r>
      <w:r w:rsidR="002738C7">
        <w:t xml:space="preserve">predict policy innovation. </w:t>
      </w:r>
      <w:r w:rsidRPr="00DA541C">
        <w:t>However, the interaction between the two is negative and statistically significant</w:t>
      </w:r>
      <w:r>
        <w:t xml:space="preserve"> across the three model specifications—1) 2000-2016 time period </w:t>
      </w:r>
      <w:r w:rsidR="002738C7">
        <w:t>(model 1)</w:t>
      </w:r>
      <w:r>
        <w:t xml:space="preserve">, 2) pooled time period </w:t>
      </w:r>
      <w:r w:rsidR="002738C7">
        <w:t xml:space="preserve">(model 2) </w:t>
      </w:r>
      <w:r>
        <w:t>and 3) pooled time period with additional binary variable for years before 2000 as an additional robustness check to isolate variation between the two eras</w:t>
      </w:r>
      <w:r w:rsidR="002738C7">
        <w:t xml:space="preserve"> (model 3)</w:t>
      </w:r>
      <w:r>
        <w:t>.</w:t>
      </w:r>
      <w:r w:rsidRPr="00DA541C">
        <w:t xml:space="preserve"> </w:t>
      </w:r>
      <w:r>
        <w:t xml:space="preserve">The negatively signed interaction </w:t>
      </w:r>
      <w:r w:rsidR="002738C7">
        <w:t>indicates</w:t>
      </w:r>
      <w:r w:rsidRPr="00DA541C">
        <w:t xml:space="preserve"> that </w:t>
      </w:r>
      <w:r>
        <w:t>higher</w:t>
      </w:r>
      <w:r w:rsidRPr="00DA541C">
        <w:t xml:space="preserve"> broadband subscription</w:t>
      </w:r>
      <w:r w:rsidR="00680969">
        <w:t xml:space="preserve"> rates</w:t>
      </w:r>
      <w:r w:rsidRPr="00DA541C">
        <w:t xml:space="preserve"> decrease </w:t>
      </w:r>
      <w:r>
        <w:t xml:space="preserve">the </w:t>
      </w:r>
      <w:r w:rsidR="00680969">
        <w:t>association between</w:t>
      </w:r>
      <w:r>
        <w:t xml:space="preserve"> geographic continuity </w:t>
      </w:r>
      <w:r w:rsidR="00680969">
        <w:t>and</w:t>
      </w:r>
      <w:r>
        <w:t xml:space="preserve"> the probability of a state adopting a new policy</w:t>
      </w:r>
      <w:r w:rsidR="00680969">
        <w:t>.</w:t>
      </w:r>
    </w:p>
    <w:p w14:paraId="39E799F3" w14:textId="5C5BB00A" w:rsidR="0038258E" w:rsidRPr="00DA541C" w:rsidRDefault="0038258E" w:rsidP="0038258E">
      <w:pPr>
        <w:spacing w:after="0"/>
        <w:ind w:firstLine="720"/>
      </w:pPr>
      <w:r w:rsidRPr="00DA541C">
        <w:t xml:space="preserve">Figure </w:t>
      </w:r>
      <w:r>
        <w:t xml:space="preserve">3 </w:t>
      </w:r>
      <w:r w:rsidRPr="00DA541C">
        <w:t xml:space="preserve">shows the </w:t>
      </w:r>
      <w:r>
        <w:t xml:space="preserve">average </w:t>
      </w:r>
      <w:r w:rsidRPr="00DA541C">
        <w:t xml:space="preserve">marginal effect of </w:t>
      </w:r>
      <w:r>
        <w:t xml:space="preserve">geographic </w:t>
      </w:r>
      <w:r w:rsidRPr="00DA541C">
        <w:t xml:space="preserve">contiguity by broadband </w:t>
      </w:r>
      <w:r>
        <w:t>subscription</w:t>
      </w:r>
      <w:r w:rsidRPr="00DA541C">
        <w:t xml:space="preserve"> rate</w:t>
      </w:r>
      <w:r>
        <w:t>s on state policy adoptions (model 1, table 2)</w:t>
      </w:r>
      <w:r w:rsidRPr="00DA541C">
        <w:t>. The effect of contiguity is positive</w:t>
      </w:r>
      <w:r>
        <w:t xml:space="preserve"> and statistically</w:t>
      </w:r>
      <w:r w:rsidRPr="00DA541C">
        <w:t xml:space="preserve"> significant</w:t>
      </w:r>
      <w:r w:rsidR="002738C7">
        <w:t>, as expected</w:t>
      </w:r>
      <w:r>
        <w:t>. C</w:t>
      </w:r>
      <w:r w:rsidRPr="00DA541C">
        <w:t xml:space="preserve">ontiguous state adoptions increase the probability of adoption by roughly </w:t>
      </w:r>
      <w:r>
        <w:t>three-fourths</w:t>
      </w:r>
      <w:r w:rsidRPr="00DA541C">
        <w:t xml:space="preserve"> of a percentage point with each additional contiguous </w:t>
      </w:r>
      <w:r w:rsidRPr="00DA541C">
        <w:lastRenderedPageBreak/>
        <w:t>adoption</w:t>
      </w:r>
      <w:r>
        <w:t>.</w:t>
      </w:r>
      <w:r w:rsidRPr="00DA541C">
        <w:t xml:space="preserve"> However, the marginal effect of contiguity decreases as broadband subscription rates surpass 60% of the population. Contiguity</w:t>
      </w:r>
      <w:r>
        <w:t xml:space="preserve"> </w:t>
      </w:r>
      <w:r w:rsidRPr="00DA541C">
        <w:t>no long</w:t>
      </w:r>
      <w:r>
        <w:t>er</w:t>
      </w:r>
      <w:r w:rsidRPr="00DA541C">
        <w:t xml:space="preserve"> positively predicts policy adoption when subscription rates are over </w:t>
      </w:r>
      <w:r>
        <w:t>85%</w:t>
      </w:r>
      <w:r w:rsidRPr="00DA541C">
        <w:t xml:space="preserve">. These results support our second hypothesis that broadband has altered flows of information and reduced the role of geography in policy diffusion. </w:t>
      </w:r>
      <w:r w:rsidR="002738C7">
        <w:t>States</w:t>
      </w:r>
      <w:r>
        <w:t xml:space="preserve"> with high levels of digital information </w:t>
      </w:r>
      <w:r w:rsidR="002738C7">
        <w:t>are less reliant on contiguous state adoptions for policy solution compared to states with low levels of broadband.</w:t>
      </w:r>
    </w:p>
    <w:p w14:paraId="0509CAF5" w14:textId="77777777" w:rsidR="0038258E" w:rsidRDefault="0038258E" w:rsidP="0038258E">
      <w:pPr>
        <w:spacing w:after="0"/>
        <w:rPr>
          <w:b/>
        </w:rPr>
      </w:pPr>
      <w:r>
        <w:rPr>
          <w:b/>
        </w:rPr>
        <w:t>Instrumental Variable Regression (Two-Stage Causal Models)</w:t>
      </w:r>
    </w:p>
    <w:p w14:paraId="63BBDE03" w14:textId="1B2545DF" w:rsidR="0038258E" w:rsidRPr="00F76EA6" w:rsidRDefault="0038258E" w:rsidP="0038258E">
      <w:pPr>
        <w:spacing w:after="0"/>
        <w:ind w:firstLine="720"/>
      </w:pPr>
      <w:r>
        <w:t>Lastly</w:t>
      </w:r>
      <w:r w:rsidRPr="00F76EA6">
        <w:t xml:space="preserve">, we estimate an instrumental variable model as a robustness check to demonstrate the relationship between the growth of digital information and the spread of diffusion of new policies is not spurious. This is necessary to address concerns about causality </w:t>
      </w:r>
      <w:r>
        <w:t>and</w:t>
      </w:r>
      <w:r w:rsidRPr="00F76EA6">
        <w:t xml:space="preserve"> endogeneity, and </w:t>
      </w:r>
      <w:r>
        <w:t xml:space="preserve">to </w:t>
      </w:r>
      <w:r w:rsidRPr="00F76EA6">
        <w:t>strip out of the predictor variable</w:t>
      </w:r>
      <w:r>
        <w:t>,</w:t>
      </w:r>
      <w:r w:rsidRPr="00F76EA6">
        <w:t xml:space="preserve"> broadband subscriptions</w:t>
      </w:r>
      <w:r>
        <w:t>,</w:t>
      </w:r>
      <w:r w:rsidRPr="00F76EA6">
        <w:t xml:space="preserve"> any factors that might be unmeasured in our models. A two</w:t>
      </w:r>
      <w:r w:rsidR="002738C7">
        <w:t>-</w:t>
      </w:r>
      <w:r w:rsidRPr="00F76EA6">
        <w:t xml:space="preserve">stage probit uses three geographic variables (state geographic area, average elevation in a state, and Dobson and Campbell’s (2014) measure of the percentage of a state’s area that is flat) to predict rates of broadband subscriptions. These three geographic variables </w:t>
      </w:r>
      <w:r w:rsidR="002738C7">
        <w:t>are predicted to predict</w:t>
      </w:r>
      <w:r w:rsidRPr="00F76EA6">
        <w:t xml:space="preserve"> broadband subscription rates but not policy innovation for </w:t>
      </w:r>
      <w:r>
        <w:t>multiple</w:t>
      </w:r>
      <w:r w:rsidRPr="00F76EA6">
        <w:t xml:space="preserve"> reasons (see </w:t>
      </w:r>
      <w:r w:rsidR="000124F1">
        <w:t>supplemental material</w:t>
      </w:r>
      <w:r w:rsidRPr="00F76EA6">
        <w:t xml:space="preserve"> for </w:t>
      </w:r>
      <w:r>
        <w:t>a more detailed</w:t>
      </w:r>
      <w:r w:rsidRPr="00F76EA6">
        <w:t xml:space="preserve"> discussion of the instrumental approach and diagnostics used to test the instrument).</w:t>
      </w:r>
    </w:p>
    <w:p w14:paraId="3940FE18" w14:textId="6625136A" w:rsidR="0038258E" w:rsidRPr="008F5985" w:rsidRDefault="0038258E" w:rsidP="0038258E">
      <w:pPr>
        <w:spacing w:after="0"/>
        <w:ind w:firstLine="720"/>
      </w:pPr>
      <w:r w:rsidRPr="00F76EA6">
        <w:t>Simply put, people can only subscribe to broadband internet if the infrastructure exists</w:t>
      </w:r>
      <w:r>
        <w:t xml:space="preserve"> (i.e. broadband deployment)</w:t>
      </w:r>
      <w:r w:rsidRPr="00F76EA6">
        <w:t xml:space="preserve">. Without access to broadband </w:t>
      </w:r>
      <w:r>
        <w:t>cables, fiber</w:t>
      </w:r>
      <w:r w:rsidRPr="00F76EA6">
        <w:t xml:space="preserve"> or </w:t>
      </w:r>
      <w:r>
        <w:t xml:space="preserve">wireless </w:t>
      </w:r>
      <w:r w:rsidRPr="00F76EA6">
        <w:t>signal</w:t>
      </w:r>
      <w:r>
        <w:t>s</w:t>
      </w:r>
      <w:r w:rsidRPr="00F76EA6">
        <w:t>, people cannot sign up for a connection. Broadband lines are expensive to install,</w:t>
      </w:r>
      <w:r w:rsidR="002738C7">
        <w:t xml:space="preserve"> and largely privately funded. I</w:t>
      </w:r>
      <w:r w:rsidRPr="00F76EA6">
        <w:t>n larger states internet providers will have to devote more resources to cover geographically larger states. Additionally, rugged terrain such as mountains increase</w:t>
      </w:r>
      <w:r w:rsidR="00990A37">
        <w:t>s</w:t>
      </w:r>
      <w:r w:rsidRPr="00F76EA6">
        <w:t xml:space="preserve"> the cost of </w:t>
      </w:r>
      <w:r w:rsidR="002738C7">
        <w:t>installing</w:t>
      </w:r>
      <w:r w:rsidRPr="00F76EA6">
        <w:t xml:space="preserve"> lines for internet access, so providers </w:t>
      </w:r>
      <w:r>
        <w:t xml:space="preserve">face more difficulties in </w:t>
      </w:r>
      <w:r w:rsidRPr="00F76EA6">
        <w:t xml:space="preserve">installing broadband </w:t>
      </w:r>
      <w:r w:rsidRPr="00F76EA6">
        <w:lastRenderedPageBreak/>
        <w:t>infrastructure. When geographic barriers to building broadband infrastructure are low, we expect broadband subscription rates to be higher. The second stage of the model includes the same variables we use in the other pooled event history analyses, including contiguous adoptions, latent ties adoptions, policy liberalism, unified government control, state income per capita, legislative professionalism, and the percentage of the population with a high school degree. We also include a cubic polynomial for duration</w:t>
      </w:r>
      <w:r>
        <w:t xml:space="preserve"> (years until a state adopts a policy)</w:t>
      </w:r>
      <w:r w:rsidRPr="00F76EA6">
        <w:t>, and fixed effects for state and year.</w:t>
      </w:r>
    </w:p>
    <w:p w14:paraId="0D60B2DE" w14:textId="77777777" w:rsidR="0038258E" w:rsidRDefault="0038258E" w:rsidP="0038258E">
      <w:pPr>
        <w:spacing w:after="0"/>
        <w:ind w:firstLine="720"/>
      </w:pPr>
      <w:r>
        <w:t>Table 3 shows the results for the two-staged probit model that treats broadband subscription rates as an endogenous predictor of policy adoption. In the first stage of the model, larger states have lower levels of broadband subscription rates, and flatter states on average have higher rates of broadband subscription. States with an average higher elevation have somewhat higher rates of broadband subscription, although the difference is not substantively large. The other demographic variables behave as expected. Wealthy, well educated, and populous states have higher levels off broadband access, while states with a larger minority population have lower rates of broadband subscriptions.</w:t>
      </w:r>
    </w:p>
    <w:p w14:paraId="51BAA173" w14:textId="72B4DAC9" w:rsidR="0038258E" w:rsidRPr="000337CA" w:rsidRDefault="0038258E" w:rsidP="0038258E">
      <w:pPr>
        <w:spacing w:after="0"/>
        <w:ind w:firstLine="720"/>
      </w:pPr>
      <w:r>
        <w:t xml:space="preserve">The second stage </w:t>
      </w:r>
      <w:r w:rsidR="002738C7">
        <w:t>predicts</w:t>
      </w:r>
      <w:r>
        <w:t xml:space="preserve"> policy adoption. Broadband subscription rates are a large, positive, and statistically significant predictor of policy adoption in the states. The predicted probability of adoption ranges from 4-percent for states with low levels of broadband subscriptions (below 20 percent) up to 7.6-percent for states with near universal levels of broadband (over 90 percent). The three percentage point increases in the probability of adoption is substantively </w:t>
      </w:r>
      <w:r w:rsidR="00F00458">
        <w:t xml:space="preserve">large </w:t>
      </w:r>
      <w:r>
        <w:t xml:space="preserve">when considering the overall baseline probability of adoption is very low. Many of the other variables in the dataset behave as expected. Adoptions from contiguous states or states with latent ties increase the probability of adoption, and more populous states tend to be </w:t>
      </w:r>
      <w:r>
        <w:lastRenderedPageBreak/>
        <w:t xml:space="preserve">more innovative. Income per capita predicts higher levels of broadband subscription but not policy adoption, which provides further support for our argument that the relationship between broadband subscriptions and policy adoption is not spurious. Through a variety of specifications, we have shown that broadband </w:t>
      </w:r>
      <w:r w:rsidR="002738C7">
        <w:t xml:space="preserve">is associated with higher levels of policy innovation across hundreds of adoptions of dozens of policies across diverse policy areas. </w:t>
      </w:r>
    </w:p>
    <w:p w14:paraId="7FD09875" w14:textId="77777777" w:rsidR="0038258E" w:rsidRPr="00DA541C" w:rsidRDefault="0038258E" w:rsidP="0038258E">
      <w:pPr>
        <w:spacing w:after="0"/>
        <w:rPr>
          <w:b/>
        </w:rPr>
      </w:pPr>
      <w:r w:rsidRPr="00DA541C">
        <w:rPr>
          <w:b/>
        </w:rPr>
        <w:t xml:space="preserve">Discussion and </w:t>
      </w:r>
      <w:r>
        <w:rPr>
          <w:b/>
        </w:rPr>
        <w:t>C</w:t>
      </w:r>
      <w:r w:rsidRPr="00DA541C">
        <w:rPr>
          <w:b/>
        </w:rPr>
        <w:t>onclusion</w:t>
      </w:r>
    </w:p>
    <w:p w14:paraId="0075BEFD" w14:textId="1337BB58" w:rsidR="0038258E" w:rsidRDefault="0038258E" w:rsidP="0038258E">
      <w:pPr>
        <w:spacing w:after="0"/>
      </w:pPr>
      <w:r w:rsidRPr="00DA541C">
        <w:rPr>
          <w:b/>
        </w:rPr>
        <w:tab/>
      </w:r>
      <w:r>
        <w:t xml:space="preserve">For over 50 years, </w:t>
      </w:r>
      <w:r w:rsidRPr="00DA541C">
        <w:t xml:space="preserve">scholars have cited the central role of information in the spread of policies between </w:t>
      </w:r>
      <w:r>
        <w:t xml:space="preserve">US </w:t>
      </w:r>
      <w:r w:rsidRPr="00DA541C">
        <w:t xml:space="preserve">states. </w:t>
      </w:r>
      <w:r>
        <w:t xml:space="preserve">We argue that the rapid </w:t>
      </w:r>
      <w:r w:rsidR="00F00458">
        <w:t>growth</w:t>
      </w:r>
      <w:r>
        <w:t xml:space="preserve"> of </w:t>
      </w:r>
      <w:r w:rsidR="00F00458">
        <w:t>broadband</w:t>
      </w:r>
      <w:r w:rsidR="00E25CF5">
        <w:t xml:space="preserve"> </w:t>
      </w:r>
      <w:r>
        <w:t>has created more expansive policy adoption in states because it</w:t>
      </w:r>
      <w:r w:rsidRPr="00DA541C">
        <w:t xml:space="preserve"> has dramatically increased the amount of information available while </w:t>
      </w:r>
      <w:r>
        <w:t>simultaneously reducing</w:t>
      </w:r>
      <w:r w:rsidRPr="00DA541C">
        <w:t xml:space="preserve"> </w:t>
      </w:r>
      <w:r>
        <w:t xml:space="preserve">the </w:t>
      </w:r>
      <w:r w:rsidRPr="00DA541C">
        <w:t>cost to access information</w:t>
      </w:r>
      <w:r>
        <w:t>, including a greater nationalization of information networks</w:t>
      </w:r>
      <w:r w:rsidRPr="00DA541C">
        <w:t xml:space="preserve">. </w:t>
      </w:r>
      <w:r>
        <w:t>Internet</w:t>
      </w:r>
      <w:r w:rsidRPr="00DA541C">
        <w:t xml:space="preserve"> </w:t>
      </w:r>
      <w:r>
        <w:t xml:space="preserve">access and use </w:t>
      </w:r>
      <w:r w:rsidRPr="00DA541C">
        <w:t>facilitates rapid and low-cost communication across the world between interest groups, the citizenry, and states.</w:t>
      </w:r>
    </w:p>
    <w:p w14:paraId="0945F882" w14:textId="0B526BE0" w:rsidR="0038258E" w:rsidRDefault="0038258E" w:rsidP="0038258E">
      <w:pPr>
        <w:spacing w:after="0"/>
      </w:pPr>
      <w:r>
        <w:tab/>
      </w:r>
      <w:r w:rsidRPr="0059095A">
        <w:rPr>
          <w:rFonts w:ascii="Times" w:hAnsi="Times" w:cs="Segoe UI"/>
          <w:shd w:val="clear" w:color="auto" w:fill="FFFFFF"/>
        </w:rPr>
        <w:t xml:space="preserve">The </w:t>
      </w:r>
      <w:r>
        <w:rPr>
          <w:rFonts w:ascii="Times" w:hAnsi="Times" w:cs="Segoe UI"/>
          <w:shd w:val="clear" w:color="auto" w:fill="FFFFFF"/>
        </w:rPr>
        <w:t>empirical results reported</w:t>
      </w:r>
      <w:r w:rsidRPr="0059095A">
        <w:rPr>
          <w:rFonts w:ascii="Times" w:hAnsi="Times" w:cs="Segoe UI"/>
          <w:shd w:val="clear" w:color="auto" w:fill="FFFFFF"/>
        </w:rPr>
        <w:t xml:space="preserve"> here </w:t>
      </w:r>
      <w:r>
        <w:rPr>
          <w:rFonts w:ascii="Times" w:hAnsi="Times" w:cs="Segoe UI"/>
          <w:shd w:val="clear" w:color="auto" w:fill="FFFFFF"/>
        </w:rPr>
        <w:t>show</w:t>
      </w:r>
      <w:r w:rsidRPr="0059095A">
        <w:rPr>
          <w:rFonts w:ascii="Times" w:hAnsi="Times" w:cs="Segoe UI"/>
          <w:shd w:val="clear" w:color="auto" w:fill="FFFFFF"/>
        </w:rPr>
        <w:t xml:space="preserve"> </w:t>
      </w:r>
      <w:r>
        <w:rPr>
          <w:rFonts w:ascii="Times" w:hAnsi="Times" w:cs="Segoe UI"/>
          <w:shd w:val="clear" w:color="auto" w:fill="FFFFFF"/>
        </w:rPr>
        <w:t xml:space="preserve">that </w:t>
      </w:r>
      <w:r w:rsidRPr="0059095A">
        <w:rPr>
          <w:rFonts w:ascii="Times" w:hAnsi="Times" w:cs="Segoe UI"/>
          <w:shd w:val="clear" w:color="auto" w:fill="FFFFFF"/>
        </w:rPr>
        <w:t xml:space="preserve">broadband subscription rates are positively associated with </w:t>
      </w:r>
      <w:r>
        <w:rPr>
          <w:rFonts w:ascii="Times" w:hAnsi="Times" w:cs="Segoe UI"/>
          <w:shd w:val="clear" w:color="auto" w:fill="FFFFFF"/>
        </w:rPr>
        <w:t xml:space="preserve">state government </w:t>
      </w:r>
      <w:r w:rsidRPr="0059095A">
        <w:rPr>
          <w:rFonts w:ascii="Times" w:hAnsi="Times" w:cs="Segoe UI"/>
          <w:shd w:val="clear" w:color="auto" w:fill="FFFFFF"/>
        </w:rPr>
        <w:t>policy innovation</w:t>
      </w:r>
      <w:r w:rsidRPr="00692839">
        <w:rPr>
          <w:rFonts w:ascii="Times" w:hAnsi="Times" w:cs="Segoe UI"/>
          <w:color w:val="212121"/>
          <w:shd w:val="clear" w:color="auto" w:fill="FFFFFF"/>
        </w:rPr>
        <w:t xml:space="preserve">. </w:t>
      </w:r>
      <w:r w:rsidRPr="00692839">
        <w:rPr>
          <w:rFonts w:ascii="Times" w:hAnsi="Times"/>
        </w:rPr>
        <w:t xml:space="preserve"> We </w:t>
      </w:r>
      <w:r>
        <w:rPr>
          <w:rFonts w:ascii="Times" w:hAnsi="Times"/>
        </w:rPr>
        <w:t>expect</w:t>
      </w:r>
      <w:r w:rsidRPr="00692839">
        <w:rPr>
          <w:rFonts w:ascii="Times" w:hAnsi="Times"/>
        </w:rPr>
        <w:t xml:space="preserve"> that broadband </w:t>
      </w:r>
      <w:r w:rsidR="00F00458">
        <w:rPr>
          <w:rFonts w:ascii="Times" w:hAnsi="Times"/>
        </w:rPr>
        <w:t>is associated with higher rates of adoption</w:t>
      </w:r>
      <w:r w:rsidRPr="00692839">
        <w:rPr>
          <w:rFonts w:ascii="Times" w:hAnsi="Times"/>
        </w:rPr>
        <w:t xml:space="preserve"> through </w:t>
      </w:r>
      <w:r w:rsidR="00F00458" w:rsidRPr="00692839">
        <w:rPr>
          <w:rFonts w:ascii="Times" w:hAnsi="Times"/>
        </w:rPr>
        <w:t>several</w:t>
      </w:r>
      <w:r w:rsidRPr="00692839">
        <w:rPr>
          <w:rFonts w:ascii="Times" w:hAnsi="Times"/>
        </w:rPr>
        <w:t xml:space="preserve"> mechanisms. </w:t>
      </w:r>
      <w:r>
        <w:rPr>
          <w:rFonts w:ascii="Times" w:hAnsi="Times"/>
        </w:rPr>
        <w:t xml:space="preserve">One is through its influence on the public agenda, diversifying information sources and increasing opportunities for citizens to easily convey preferences to policymakers.  Another reason may be the internet’s impact on legislative information sources for policy alternatives.  </w:t>
      </w:r>
      <w:r w:rsidRPr="00692839">
        <w:rPr>
          <w:rFonts w:ascii="Times" w:hAnsi="Times"/>
        </w:rPr>
        <w:t>Following prior research in policy diffusion, these include bureaucratic processes drawing upon professional networks (Walker 1969; Mossberger 2000; Balla 2001), nationally-connected interest groups and policy entrepreneurs (Mintrom 2000; Kingdon 1995; Schneider and Teske 1995), groundswells of public support (Boushey 2010; Pacheco 201</w:t>
      </w:r>
      <w:r>
        <w:rPr>
          <w:rFonts w:ascii="Times" w:hAnsi="Times"/>
        </w:rPr>
        <w:t>2</w:t>
      </w:r>
      <w:r w:rsidRPr="00692839">
        <w:rPr>
          <w:rFonts w:ascii="Times" w:hAnsi="Times"/>
        </w:rPr>
        <w:t>)</w:t>
      </w:r>
      <w:r>
        <w:rPr>
          <w:rFonts w:ascii="Times" w:hAnsi="Times"/>
        </w:rPr>
        <w:t xml:space="preserve"> and increased reliance on national media</w:t>
      </w:r>
      <w:r w:rsidRPr="00692839">
        <w:rPr>
          <w:rFonts w:ascii="Times" w:hAnsi="Times"/>
        </w:rPr>
        <w:t>.</w:t>
      </w:r>
      <w:r>
        <w:rPr>
          <w:rFonts w:ascii="Times" w:hAnsi="Times"/>
        </w:rPr>
        <w:t xml:space="preserve"> </w:t>
      </w:r>
      <w:r>
        <w:t xml:space="preserve">We demonstrate that more widespread digital connectivity </w:t>
      </w:r>
      <w:r w:rsidR="00F00458">
        <w:t>is associated with more</w:t>
      </w:r>
      <w:r>
        <w:t xml:space="preserve"> innovativeness, </w:t>
      </w:r>
      <w:r>
        <w:lastRenderedPageBreak/>
        <w:t xml:space="preserve">and that its effect is substantively large, with a 10% increase in </w:t>
      </w:r>
      <w:r w:rsidR="00F00458">
        <w:t>subscription being associated with an increase in the</w:t>
      </w:r>
      <w:r>
        <w:t xml:space="preserve"> baseline probability of adopting a policy in a given year by roughly 20%. This relationship holds under other specifications including an instrumental variable approach that controls for factors that may cause both policy innovation and broadband subscriptions.</w:t>
      </w:r>
    </w:p>
    <w:p w14:paraId="3800EFFE" w14:textId="524090F6" w:rsidR="001C0A1E" w:rsidRDefault="0038258E" w:rsidP="0038258E">
      <w:pPr>
        <w:spacing w:after="0"/>
      </w:pPr>
      <w:r w:rsidRPr="00DA541C">
        <w:rPr>
          <w:b/>
        </w:rPr>
        <w:tab/>
      </w:r>
      <w:r w:rsidR="00F00458">
        <w:rPr>
          <w:bCs/>
        </w:rPr>
        <w:t>B</w:t>
      </w:r>
      <w:r w:rsidRPr="00DA541C">
        <w:t xml:space="preserve">roadband </w:t>
      </w:r>
      <w:r w:rsidR="00F00458">
        <w:t>access not only appears to increase innovativeness</w:t>
      </w:r>
      <w:r w:rsidRPr="00DA541C">
        <w:t>, but</w:t>
      </w:r>
      <w:r w:rsidR="00F00458">
        <w:t xml:space="preserve"> also</w:t>
      </w:r>
      <w:r w:rsidRPr="00DA541C">
        <w:t xml:space="preserve"> alters </w:t>
      </w:r>
      <w:r>
        <w:t>information flows critical to policy innovation</w:t>
      </w:r>
      <w:r w:rsidRPr="00DA541C">
        <w:t xml:space="preserve">. </w:t>
      </w:r>
      <w:r>
        <w:t>States</w:t>
      </w:r>
      <w:r w:rsidRPr="00DA541C">
        <w:t xml:space="preserve"> with high broadband usage </w:t>
      </w:r>
      <w:r w:rsidR="00F00458">
        <w:t xml:space="preserve">are more </w:t>
      </w:r>
      <w:r w:rsidR="00F00458" w:rsidRPr="00D85934">
        <w:t>likely</w:t>
      </w:r>
      <w:r w:rsidRPr="00D85934">
        <w:t xml:space="preserve"> </w:t>
      </w:r>
      <w:r w:rsidR="00236528" w:rsidRPr="00D85934">
        <w:t xml:space="preserve">to </w:t>
      </w:r>
      <w:r w:rsidRPr="00D85934">
        <w:t xml:space="preserve">look beyond their immediate neighbors for policy solutions, and citizens and interest groups are increasingly able to mobilize in new ways as well as to operate within national networks. States with high levels of digital information are less reliant on </w:t>
      </w:r>
      <w:r w:rsidR="00236528" w:rsidRPr="00D85934">
        <w:t>neighboring states</w:t>
      </w:r>
      <w:r w:rsidRPr="00D85934">
        <w:t xml:space="preserve"> for policy</w:t>
      </w:r>
      <w:r w:rsidR="00236528">
        <w:t xml:space="preserve"> ideas</w:t>
      </w:r>
      <w:r>
        <w:t xml:space="preserve"> or other traditional sources of information. </w:t>
      </w:r>
      <w:r w:rsidRPr="007A7CB6">
        <w:t xml:space="preserve">The decline in the importance of geographic continuity builds on recent studies pointing in the same direction, </w:t>
      </w:r>
      <w:r w:rsidR="00F00458">
        <w:t xml:space="preserve">using </w:t>
      </w:r>
      <w:r w:rsidRPr="007A7CB6">
        <w:t>different modeling and data (Desmarais et al 2015; Mallinson 2019; Bricker and LaCombe 2020</w:t>
      </w:r>
      <w:r w:rsidRPr="00D85934">
        <w:t xml:space="preserve">). </w:t>
      </w:r>
      <w:r w:rsidR="00F00458" w:rsidRPr="00D85934">
        <w:t xml:space="preserve"> </w:t>
      </w:r>
      <w:r w:rsidR="00236528" w:rsidRPr="00D85934">
        <w:t>B</w:t>
      </w:r>
      <w:r w:rsidR="002E7351" w:rsidRPr="00D85934">
        <w:t>roadband</w:t>
      </w:r>
      <w:r w:rsidR="00236528" w:rsidRPr="00D85934">
        <w:t xml:space="preserve"> as an information and communications technology is distinct</w:t>
      </w:r>
      <w:r w:rsidR="002E7351" w:rsidRPr="00D85934">
        <w:t xml:space="preserve"> from other potential “resource” indicators for diffusion such as population and wealth. Unlike these variables, broadband not only is a resource for states to access more information, but this resource also alters the flow of information. As a robustness check, we estimated </w:t>
      </w:r>
      <w:r w:rsidR="00236528" w:rsidRPr="00D85934">
        <w:t>identical pooled event history</w:t>
      </w:r>
      <w:r w:rsidR="002E7351" w:rsidRPr="00D85934">
        <w:t xml:space="preserve"> models that interacted population and wealth with the neighbors variable and found that only broadband had a significant interaction with </w:t>
      </w:r>
      <w:r w:rsidR="00236528" w:rsidRPr="00D85934">
        <w:t xml:space="preserve">geographic </w:t>
      </w:r>
      <w:r w:rsidR="002E7351" w:rsidRPr="00D85934">
        <w:t>contiguity.</w:t>
      </w:r>
      <w:r w:rsidR="002E7351">
        <w:t xml:space="preserve"> </w:t>
      </w:r>
    </w:p>
    <w:p w14:paraId="5C5B3DEF" w14:textId="1D85FB28" w:rsidR="0038258E" w:rsidRPr="00DA541C" w:rsidRDefault="00F00458" w:rsidP="001C0A1E">
      <w:pPr>
        <w:spacing w:after="0"/>
        <w:ind w:firstLine="720"/>
      </w:pPr>
      <w:r>
        <w:t>These findings also help to explain both the growing innovativeness observed across all states (Boehmke and Skinner 2012), and the growing gap between the most and least innovative states. States with the highest broadband connectivity levels</w:t>
      </w:r>
      <w:r w:rsidR="001C0A1E">
        <w:t xml:space="preserve"> (in the North East and West Coast)</w:t>
      </w:r>
      <w:r>
        <w:t xml:space="preserve"> are also among the most innovative as measured by innovation rate scores</w:t>
      </w:r>
      <w:r w:rsidR="001C0A1E">
        <w:t>, while the least innovative states (Mississippi, Alabama, etc) also have some of the lowest innovation rates</w:t>
      </w:r>
      <w:r>
        <w:t xml:space="preserve"> </w:t>
      </w:r>
      <w:r>
        <w:lastRenderedPageBreak/>
        <w:t xml:space="preserve">(Boehmke et al 2020). </w:t>
      </w:r>
      <w:r w:rsidR="001C0A1E">
        <w:t xml:space="preserve">Our results suggest that the growing gap in broadband subscription rates is contributing to the growing gap between the most innovative and least innovative states. </w:t>
      </w:r>
    </w:p>
    <w:p w14:paraId="3363E832" w14:textId="09D62D29" w:rsidR="0038258E" w:rsidRDefault="0038258E" w:rsidP="0038258E">
      <w:pPr>
        <w:spacing w:after="0"/>
      </w:pPr>
      <w:r w:rsidRPr="00DA541C">
        <w:tab/>
      </w:r>
      <w:r>
        <w:t xml:space="preserve">Taken together, our findings suggest that widespread broadband use has changed how information spreads both among citizens and elites, leading to a greater number of new policies in states </w:t>
      </w:r>
      <w:r w:rsidR="001C0A1E">
        <w:t>while also producing a more nationalized information network</w:t>
      </w:r>
      <w:r>
        <w:t xml:space="preserve">. While an aggregate study of policymaking can’t identify the exact processes promoting diffusion in the public and among policymakers across all these issues, accumulating bodies of research on the internet’s effects on the media, political participation, interest groups, and mobilization suggest a rich future research agenda on policy innovation in the states.  </w:t>
      </w:r>
      <w:r w:rsidRPr="00DA541C">
        <w:t xml:space="preserve">Diffusion scholars should incorporate </w:t>
      </w:r>
      <w:r>
        <w:t>broadband subscription rates</w:t>
      </w:r>
      <w:r w:rsidRPr="00DA541C">
        <w:t xml:space="preserve"> in models of diffusion because it represents an important way in which information</w:t>
      </w:r>
      <w:r>
        <w:t xml:space="preserve"> and policy ideas circulate within states and </w:t>
      </w:r>
      <w:r w:rsidRPr="00DA541C">
        <w:t>between the states.</w:t>
      </w:r>
      <w:r w:rsidR="00B647DF">
        <w:t xml:space="preserve"> An important next step would be to dive deeper into the role that broadband has within specific diffusion mechanisms such as learning, imitation, and competition. </w:t>
      </w:r>
    </w:p>
    <w:p w14:paraId="1ACF8EFF" w14:textId="15A0E56C" w:rsidR="0038258E" w:rsidRPr="00DA541C" w:rsidRDefault="0038258E" w:rsidP="0038258E">
      <w:pPr>
        <w:spacing w:after="0"/>
      </w:pPr>
      <w:r>
        <w:tab/>
      </w:r>
      <w:r w:rsidRPr="00DA541C">
        <w:t xml:space="preserve"> </w:t>
      </w:r>
      <w:r>
        <w:t xml:space="preserve">This study is </w:t>
      </w:r>
      <w:r w:rsidR="00586526">
        <w:t xml:space="preserve">just </w:t>
      </w:r>
      <w:r>
        <w:t>first step in understanding how digital information affects policy diffusion. Future studies could evaluate whether broadband has a larger effect on information intensive diffusion mechanisms of learning and competition compared to imitation (Shipan and Volden 2008)</w:t>
      </w:r>
      <w:r w:rsidR="000267AA">
        <w:t>, and qualitative interviews with policymakers could also yield important insights into how the internet has changed how they learn about policy solutions</w:t>
      </w:r>
      <w:r>
        <w:t xml:space="preserve">. Additionally, digital information could have specific effects that differ by policy characteristics. Is diffusion, for example, more likely for policies with greater political salience and public attention, where a large proportion of the population has broadband?  Or, are national influences more likely for policies with greater risk and uncertainty, as policymakers may be more motivated to engage in information search?  These findings across thousands of policies, however, add to our confidence </w:t>
      </w:r>
      <w:r>
        <w:lastRenderedPageBreak/>
        <w:t xml:space="preserve">that digital information is a neglected aspect of the policy diffusion literature worthy of further exploration.  </w:t>
      </w:r>
    </w:p>
    <w:p w14:paraId="27AD9565" w14:textId="77777777" w:rsidR="0038258E" w:rsidRPr="00DA541C" w:rsidRDefault="0038258E" w:rsidP="0038258E">
      <w:pPr>
        <w:spacing w:after="0"/>
      </w:pPr>
      <w:r w:rsidRPr="00DA541C">
        <w:tab/>
        <w:t xml:space="preserve"> </w:t>
      </w:r>
    </w:p>
    <w:p w14:paraId="4949057A" w14:textId="77777777" w:rsidR="0038258E" w:rsidRPr="00DA541C" w:rsidRDefault="0038258E" w:rsidP="0038258E">
      <w:pPr>
        <w:spacing w:after="0"/>
        <w:ind w:firstLine="720"/>
      </w:pPr>
    </w:p>
    <w:p w14:paraId="11640598" w14:textId="77777777" w:rsidR="0038258E" w:rsidRPr="00DA541C" w:rsidRDefault="0038258E" w:rsidP="0038258E">
      <w:pPr>
        <w:spacing w:after="0"/>
        <w:ind w:firstLine="720"/>
      </w:pPr>
    </w:p>
    <w:p w14:paraId="45375DC1" w14:textId="77777777" w:rsidR="0038258E" w:rsidRPr="00DA541C" w:rsidRDefault="0038258E" w:rsidP="0038258E">
      <w:pPr>
        <w:spacing w:after="0"/>
        <w:rPr>
          <w:b/>
        </w:rPr>
      </w:pPr>
      <w:r w:rsidRPr="00DA541C">
        <w:rPr>
          <w:b/>
        </w:rPr>
        <w:br w:type="page"/>
      </w:r>
    </w:p>
    <w:p w14:paraId="78147E2A" w14:textId="77A75C84" w:rsidR="0038258E" w:rsidRPr="003B2FA4" w:rsidRDefault="0038258E" w:rsidP="0038258E">
      <w:pPr>
        <w:spacing w:after="0" w:line="240" w:lineRule="auto"/>
      </w:pPr>
      <w:r w:rsidRPr="00DA541C">
        <w:rPr>
          <w:b/>
        </w:rPr>
        <w:lastRenderedPageBreak/>
        <w:t>Bibliography</w:t>
      </w:r>
      <w:r w:rsidR="003B2FA4">
        <w:rPr>
          <w:b/>
        </w:rPr>
        <w:t xml:space="preserve"> </w:t>
      </w:r>
    </w:p>
    <w:p w14:paraId="45391548" w14:textId="77777777" w:rsidR="0038258E" w:rsidRPr="00260995" w:rsidRDefault="0038258E" w:rsidP="0038258E">
      <w:pPr>
        <w:spacing w:after="0" w:line="240" w:lineRule="auto"/>
        <w:ind w:left="720" w:hanging="720"/>
        <w:rPr>
          <w:sz w:val="22"/>
          <w:szCs w:val="22"/>
        </w:rPr>
      </w:pPr>
      <w:r w:rsidRPr="00260995">
        <w:rPr>
          <w:sz w:val="22"/>
          <w:szCs w:val="22"/>
        </w:rPr>
        <w:t xml:space="preserve">Balla, S. J. 2001. Interstate professional associations and the diffusion of policy </w:t>
      </w:r>
    </w:p>
    <w:p w14:paraId="39F24718" w14:textId="77777777" w:rsidR="0038258E" w:rsidRPr="00260995" w:rsidRDefault="0038258E" w:rsidP="0038258E">
      <w:pPr>
        <w:spacing w:after="0" w:line="240" w:lineRule="auto"/>
        <w:ind w:left="720" w:hanging="720"/>
        <w:rPr>
          <w:sz w:val="22"/>
          <w:szCs w:val="22"/>
        </w:rPr>
      </w:pPr>
      <w:r w:rsidRPr="00260995">
        <w:rPr>
          <w:sz w:val="22"/>
          <w:szCs w:val="22"/>
        </w:rPr>
        <w:tab/>
        <w:t xml:space="preserve">Innovations. </w:t>
      </w:r>
      <w:r w:rsidRPr="00260995">
        <w:rPr>
          <w:i/>
          <w:sz w:val="22"/>
          <w:szCs w:val="22"/>
        </w:rPr>
        <w:t>American Politics Research</w:t>
      </w:r>
      <w:r w:rsidRPr="00260995">
        <w:rPr>
          <w:sz w:val="22"/>
          <w:szCs w:val="22"/>
        </w:rPr>
        <w:t xml:space="preserve"> 39:221–45.</w:t>
      </w:r>
    </w:p>
    <w:p w14:paraId="1E9E38B1"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t>Baumgartner, F. R. and B. D. Jones. 1993. Agendas and instability in American politics. University of Chicago Press.</w:t>
      </w:r>
    </w:p>
    <w:p w14:paraId="29D8CA37"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t>Berry, F. S., &amp; Berry, W. D. (1990). State lottery adoptions as policy innovations: An event history analysis. </w:t>
      </w:r>
      <w:r w:rsidRPr="00260995">
        <w:rPr>
          <w:i/>
          <w:iCs/>
          <w:sz w:val="22"/>
          <w:szCs w:val="22"/>
          <w:shd w:val="clear" w:color="auto" w:fill="FFFFFF"/>
        </w:rPr>
        <w:t>American political science review</w:t>
      </w:r>
      <w:r w:rsidRPr="00260995">
        <w:rPr>
          <w:sz w:val="22"/>
          <w:szCs w:val="22"/>
          <w:shd w:val="clear" w:color="auto" w:fill="FFFFFF"/>
        </w:rPr>
        <w:t>, </w:t>
      </w:r>
      <w:r w:rsidRPr="00260995">
        <w:rPr>
          <w:i/>
          <w:iCs/>
          <w:sz w:val="22"/>
          <w:szCs w:val="22"/>
          <w:shd w:val="clear" w:color="auto" w:fill="FFFFFF"/>
        </w:rPr>
        <w:t>84</w:t>
      </w:r>
      <w:r w:rsidRPr="00260995">
        <w:rPr>
          <w:sz w:val="22"/>
          <w:szCs w:val="22"/>
          <w:shd w:val="clear" w:color="auto" w:fill="FFFFFF"/>
        </w:rPr>
        <w:t>(2), 395-415.</w:t>
      </w:r>
    </w:p>
    <w:p w14:paraId="7CD26A88" w14:textId="77777777" w:rsidR="0038258E" w:rsidRPr="00260995" w:rsidRDefault="0038258E" w:rsidP="0038258E">
      <w:pPr>
        <w:spacing w:after="0" w:line="240" w:lineRule="auto"/>
        <w:ind w:left="720" w:hanging="720"/>
        <w:rPr>
          <w:sz w:val="22"/>
          <w:szCs w:val="22"/>
        </w:rPr>
      </w:pPr>
      <w:r w:rsidRPr="00260995">
        <w:rPr>
          <w:color w:val="222222"/>
          <w:sz w:val="22"/>
          <w:szCs w:val="22"/>
          <w:shd w:val="clear" w:color="auto" w:fill="FFFFFF"/>
        </w:rPr>
        <w:t>Berry, W. D., &amp; Baybeck, B. (2005). Using geographic information systems to study interstate competition. </w:t>
      </w:r>
      <w:r w:rsidRPr="00260995">
        <w:rPr>
          <w:i/>
          <w:iCs/>
          <w:color w:val="222222"/>
          <w:sz w:val="22"/>
          <w:szCs w:val="22"/>
          <w:shd w:val="clear" w:color="auto" w:fill="FFFFFF"/>
        </w:rPr>
        <w:t>American Political Science Review</w:t>
      </w:r>
      <w:r w:rsidRPr="00260995">
        <w:rPr>
          <w:color w:val="222222"/>
          <w:sz w:val="22"/>
          <w:szCs w:val="22"/>
          <w:shd w:val="clear" w:color="auto" w:fill="FFFFFF"/>
        </w:rPr>
        <w:t>, 505-519.</w:t>
      </w:r>
    </w:p>
    <w:p w14:paraId="2F4DD958"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t>Berry, F. S. (1994). Sizing up state policy innovation research. </w:t>
      </w:r>
      <w:r w:rsidRPr="00260995">
        <w:rPr>
          <w:i/>
          <w:iCs/>
          <w:sz w:val="22"/>
          <w:szCs w:val="22"/>
          <w:shd w:val="clear" w:color="auto" w:fill="FFFFFF"/>
        </w:rPr>
        <w:t>Policy Studies Journal</w:t>
      </w:r>
      <w:r w:rsidRPr="00260995">
        <w:rPr>
          <w:sz w:val="22"/>
          <w:szCs w:val="22"/>
          <w:shd w:val="clear" w:color="auto" w:fill="FFFFFF"/>
        </w:rPr>
        <w:t>, </w:t>
      </w:r>
      <w:r w:rsidRPr="00260995">
        <w:rPr>
          <w:i/>
          <w:iCs/>
          <w:sz w:val="22"/>
          <w:szCs w:val="22"/>
          <w:shd w:val="clear" w:color="auto" w:fill="FFFFFF"/>
        </w:rPr>
        <w:t>22</w:t>
      </w:r>
      <w:r w:rsidRPr="00260995">
        <w:rPr>
          <w:sz w:val="22"/>
          <w:szCs w:val="22"/>
          <w:shd w:val="clear" w:color="auto" w:fill="FFFFFF"/>
        </w:rPr>
        <w:t>(3), 442-456.</w:t>
      </w:r>
    </w:p>
    <w:p w14:paraId="5897DB36" w14:textId="77777777" w:rsidR="0038258E" w:rsidRPr="00260995" w:rsidRDefault="0038258E" w:rsidP="0038258E">
      <w:pPr>
        <w:spacing w:after="0" w:line="240" w:lineRule="auto"/>
        <w:ind w:left="720" w:hanging="720"/>
        <w:rPr>
          <w:sz w:val="22"/>
          <w:szCs w:val="22"/>
        </w:rPr>
      </w:pPr>
      <w:r w:rsidRPr="00260995">
        <w:rPr>
          <w:sz w:val="22"/>
          <w:szCs w:val="22"/>
        </w:rPr>
        <w:t xml:space="preserve">Berry, W. D., and Baybeck, B. (2005). Using geographic information systems to study </w:t>
      </w:r>
    </w:p>
    <w:p w14:paraId="54C18314" w14:textId="77777777" w:rsidR="0038258E" w:rsidRPr="00260995" w:rsidRDefault="0038258E" w:rsidP="0038258E">
      <w:pPr>
        <w:spacing w:after="0" w:line="240" w:lineRule="auto"/>
        <w:ind w:left="720" w:hanging="720"/>
        <w:rPr>
          <w:sz w:val="22"/>
          <w:szCs w:val="22"/>
        </w:rPr>
      </w:pPr>
      <w:r w:rsidRPr="00260995">
        <w:rPr>
          <w:sz w:val="22"/>
          <w:szCs w:val="22"/>
        </w:rPr>
        <w:tab/>
        <w:t xml:space="preserve">interstate competition. </w:t>
      </w:r>
      <w:r w:rsidRPr="00260995">
        <w:rPr>
          <w:i/>
          <w:sz w:val="22"/>
          <w:szCs w:val="22"/>
        </w:rPr>
        <w:t>American Political Science Review</w:t>
      </w:r>
      <w:r w:rsidRPr="00260995">
        <w:rPr>
          <w:sz w:val="22"/>
          <w:szCs w:val="22"/>
        </w:rPr>
        <w:t xml:space="preserve"> 99(4): 505–19.</w:t>
      </w:r>
    </w:p>
    <w:p w14:paraId="718443E8"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t>Boehmke, F. J., &amp; Skinner, P. (2012). State policy innovativeness revisited. </w:t>
      </w:r>
      <w:r w:rsidRPr="00260995">
        <w:rPr>
          <w:i/>
          <w:iCs/>
          <w:sz w:val="22"/>
          <w:szCs w:val="22"/>
          <w:shd w:val="clear" w:color="auto" w:fill="FFFFFF"/>
        </w:rPr>
        <w:t>State Politics &amp; Policy Quarterly</w:t>
      </w:r>
      <w:r w:rsidRPr="00260995">
        <w:rPr>
          <w:sz w:val="22"/>
          <w:szCs w:val="22"/>
          <w:shd w:val="clear" w:color="auto" w:fill="FFFFFF"/>
        </w:rPr>
        <w:t>, </w:t>
      </w:r>
      <w:r w:rsidRPr="00260995">
        <w:rPr>
          <w:i/>
          <w:iCs/>
          <w:sz w:val="22"/>
          <w:szCs w:val="22"/>
          <w:shd w:val="clear" w:color="auto" w:fill="FFFFFF"/>
        </w:rPr>
        <w:t>12</w:t>
      </w:r>
      <w:r w:rsidRPr="00260995">
        <w:rPr>
          <w:sz w:val="22"/>
          <w:szCs w:val="22"/>
          <w:shd w:val="clear" w:color="auto" w:fill="FFFFFF"/>
        </w:rPr>
        <w:t>(3), 303-329.</w:t>
      </w:r>
    </w:p>
    <w:p w14:paraId="7A2E1CFB" w14:textId="77777777" w:rsidR="0038258E" w:rsidRPr="00260995" w:rsidRDefault="0038258E" w:rsidP="0038258E">
      <w:pPr>
        <w:spacing w:after="0" w:line="240" w:lineRule="auto"/>
        <w:ind w:left="720" w:hanging="720"/>
        <w:rPr>
          <w:sz w:val="22"/>
          <w:szCs w:val="22"/>
          <w:shd w:val="clear" w:color="auto" w:fill="FFFFFF"/>
        </w:rPr>
      </w:pPr>
      <w:r w:rsidRPr="00260995">
        <w:rPr>
          <w:color w:val="222222"/>
          <w:sz w:val="22"/>
          <w:szCs w:val="22"/>
          <w:shd w:val="clear" w:color="auto" w:fill="FFFFFF"/>
        </w:rPr>
        <w:t>Boehmke, F. J., Brockway, M., Desmarais, B. A., Harden, J. J., LaCombe, S., Linder, F., &amp; Wallach, H. (2020). SPID: A New Database for Inferring Public Policy Innovativeness and Diffusion Networks. </w:t>
      </w:r>
      <w:r w:rsidRPr="00260995">
        <w:rPr>
          <w:i/>
          <w:iCs/>
          <w:color w:val="222222"/>
          <w:sz w:val="22"/>
          <w:szCs w:val="22"/>
          <w:shd w:val="clear" w:color="auto" w:fill="FFFFFF"/>
        </w:rPr>
        <w:t>Policy Studies Journal</w:t>
      </w:r>
      <w:r w:rsidRPr="00260995">
        <w:rPr>
          <w:color w:val="222222"/>
          <w:sz w:val="22"/>
          <w:szCs w:val="22"/>
          <w:shd w:val="clear" w:color="auto" w:fill="FFFFFF"/>
        </w:rPr>
        <w:t>, </w:t>
      </w:r>
      <w:r w:rsidRPr="00260995">
        <w:rPr>
          <w:i/>
          <w:iCs/>
          <w:color w:val="222222"/>
          <w:sz w:val="22"/>
          <w:szCs w:val="22"/>
          <w:shd w:val="clear" w:color="auto" w:fill="FFFFFF"/>
        </w:rPr>
        <w:t>48</w:t>
      </w:r>
      <w:r w:rsidRPr="00260995">
        <w:rPr>
          <w:color w:val="222222"/>
          <w:sz w:val="22"/>
          <w:szCs w:val="22"/>
          <w:shd w:val="clear" w:color="auto" w:fill="FFFFFF"/>
        </w:rPr>
        <w:t>(2), 517-545.</w:t>
      </w:r>
    </w:p>
    <w:p w14:paraId="561AB335"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t>Boushey, G. (2010). </w:t>
      </w:r>
      <w:r w:rsidRPr="00260995">
        <w:rPr>
          <w:i/>
          <w:iCs/>
          <w:sz w:val="22"/>
          <w:szCs w:val="22"/>
          <w:shd w:val="clear" w:color="auto" w:fill="FFFFFF"/>
        </w:rPr>
        <w:t>Policy diffusion dynamics in America</w:t>
      </w:r>
      <w:r w:rsidRPr="00260995">
        <w:rPr>
          <w:sz w:val="22"/>
          <w:szCs w:val="22"/>
          <w:shd w:val="clear" w:color="auto" w:fill="FFFFFF"/>
        </w:rPr>
        <w:t>. Cambridge University Press.</w:t>
      </w:r>
    </w:p>
    <w:p w14:paraId="660032D6" w14:textId="77777777" w:rsidR="0038258E" w:rsidRPr="00260995" w:rsidRDefault="0038258E" w:rsidP="0038258E">
      <w:pPr>
        <w:spacing w:after="0" w:line="240" w:lineRule="auto"/>
        <w:rPr>
          <w:sz w:val="22"/>
          <w:szCs w:val="22"/>
        </w:rPr>
      </w:pPr>
      <w:r w:rsidRPr="00260995">
        <w:rPr>
          <w:sz w:val="22"/>
          <w:szCs w:val="22"/>
        </w:rPr>
        <w:t xml:space="preserve">Bricker, Christin &amp; LaCombe, Scott (Forthcoming). “The Ties that Bind US: The Influence of </w:t>
      </w:r>
    </w:p>
    <w:p w14:paraId="30AB3068" w14:textId="014D8474" w:rsidR="0038258E" w:rsidRPr="00260995" w:rsidRDefault="0038258E" w:rsidP="0038258E">
      <w:pPr>
        <w:spacing w:after="0" w:line="240" w:lineRule="auto"/>
        <w:ind w:firstLine="720"/>
        <w:rPr>
          <w:i/>
          <w:iCs/>
          <w:sz w:val="22"/>
          <w:szCs w:val="22"/>
        </w:rPr>
      </w:pPr>
      <w:r w:rsidRPr="00260995">
        <w:rPr>
          <w:sz w:val="22"/>
          <w:szCs w:val="22"/>
        </w:rPr>
        <w:t xml:space="preserve">Perceived State Similarity in Policy Diffusion” </w:t>
      </w:r>
      <w:r w:rsidRPr="00260995">
        <w:rPr>
          <w:i/>
          <w:iCs/>
          <w:sz w:val="22"/>
          <w:szCs w:val="22"/>
        </w:rPr>
        <w:t>Political Research Quarterly.</w:t>
      </w:r>
    </w:p>
    <w:p w14:paraId="50FD106E" w14:textId="77777777" w:rsidR="00943D15" w:rsidRPr="00260995" w:rsidRDefault="00943D15" w:rsidP="00943D15">
      <w:pPr>
        <w:spacing w:after="0" w:line="240" w:lineRule="auto"/>
        <w:rPr>
          <w:color w:val="222222"/>
          <w:sz w:val="22"/>
          <w:szCs w:val="22"/>
          <w:shd w:val="clear" w:color="auto" w:fill="FFFFFF"/>
        </w:rPr>
      </w:pPr>
      <w:r w:rsidRPr="00260995">
        <w:rPr>
          <w:color w:val="222222"/>
          <w:sz w:val="22"/>
          <w:szCs w:val="22"/>
          <w:shd w:val="clear" w:color="auto" w:fill="FFFFFF"/>
        </w:rPr>
        <w:t xml:space="preserve">Butler, D. M., Volden, C., Dynes, A. M., &amp; Shor, B. (2017). Ideology, learning, and policy </w:t>
      </w:r>
    </w:p>
    <w:p w14:paraId="15DF0952" w14:textId="5997C47B" w:rsidR="00943D15" w:rsidRDefault="00943D15" w:rsidP="00943D15">
      <w:pPr>
        <w:spacing w:after="0" w:line="240" w:lineRule="auto"/>
        <w:ind w:firstLine="720"/>
        <w:rPr>
          <w:color w:val="222222"/>
          <w:sz w:val="22"/>
          <w:szCs w:val="22"/>
          <w:shd w:val="clear" w:color="auto" w:fill="FFFFFF"/>
        </w:rPr>
      </w:pPr>
      <w:r w:rsidRPr="00260995">
        <w:rPr>
          <w:color w:val="222222"/>
          <w:sz w:val="22"/>
          <w:szCs w:val="22"/>
          <w:shd w:val="clear" w:color="auto" w:fill="FFFFFF"/>
        </w:rPr>
        <w:t>diffusion: Experimental evidence. </w:t>
      </w:r>
      <w:r w:rsidRPr="00260995">
        <w:rPr>
          <w:i/>
          <w:iCs/>
          <w:color w:val="222222"/>
          <w:sz w:val="22"/>
          <w:szCs w:val="22"/>
          <w:shd w:val="clear" w:color="auto" w:fill="FFFFFF"/>
        </w:rPr>
        <w:t>American Journal of Political Science</w:t>
      </w:r>
      <w:r w:rsidRPr="00260995">
        <w:rPr>
          <w:color w:val="222222"/>
          <w:sz w:val="22"/>
          <w:szCs w:val="22"/>
          <w:shd w:val="clear" w:color="auto" w:fill="FFFFFF"/>
        </w:rPr>
        <w:t>, </w:t>
      </w:r>
      <w:r w:rsidRPr="00260995">
        <w:rPr>
          <w:i/>
          <w:iCs/>
          <w:color w:val="222222"/>
          <w:sz w:val="22"/>
          <w:szCs w:val="22"/>
          <w:shd w:val="clear" w:color="auto" w:fill="FFFFFF"/>
        </w:rPr>
        <w:t>61</w:t>
      </w:r>
      <w:r w:rsidRPr="00260995">
        <w:rPr>
          <w:color w:val="222222"/>
          <w:sz w:val="22"/>
          <w:szCs w:val="22"/>
          <w:shd w:val="clear" w:color="auto" w:fill="FFFFFF"/>
        </w:rPr>
        <w:t>(1), 37-49.</w:t>
      </w:r>
    </w:p>
    <w:p w14:paraId="2959C0E3" w14:textId="39A1441E" w:rsidR="008039EC" w:rsidRDefault="008039EC" w:rsidP="008039EC">
      <w:pPr>
        <w:spacing w:after="0" w:line="240" w:lineRule="auto"/>
        <w:rPr>
          <w:color w:val="222222"/>
          <w:sz w:val="22"/>
          <w:szCs w:val="22"/>
          <w:shd w:val="clear" w:color="auto" w:fill="FFFFFF"/>
        </w:rPr>
      </w:pPr>
      <w:r w:rsidRPr="008039EC">
        <w:rPr>
          <w:color w:val="222222"/>
          <w:sz w:val="22"/>
          <w:szCs w:val="22"/>
          <w:shd w:val="clear" w:color="auto" w:fill="FFFFFF"/>
        </w:rPr>
        <w:t xml:space="preserve">Caughey, D., &amp; Warshaw, C. (2018). Policy preferences and policy change: Dynamic responsiveness in </w:t>
      </w:r>
    </w:p>
    <w:p w14:paraId="2E599939" w14:textId="12BAF51B" w:rsidR="008039EC" w:rsidRPr="008039EC" w:rsidRDefault="008039EC" w:rsidP="008039EC">
      <w:pPr>
        <w:spacing w:after="0" w:line="240" w:lineRule="auto"/>
        <w:ind w:firstLine="720"/>
        <w:rPr>
          <w:i/>
          <w:iCs/>
          <w:sz w:val="22"/>
          <w:szCs w:val="22"/>
        </w:rPr>
      </w:pPr>
      <w:r w:rsidRPr="008039EC">
        <w:rPr>
          <w:color w:val="222222"/>
          <w:sz w:val="22"/>
          <w:szCs w:val="22"/>
          <w:shd w:val="clear" w:color="auto" w:fill="FFFFFF"/>
        </w:rPr>
        <w:t>the American states, 1936–2014.</w:t>
      </w:r>
    </w:p>
    <w:p w14:paraId="54E8381A"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t>Chadwick, A.. (2017). The hybrid media system: Politics and power. Oxford University Press.</w:t>
      </w:r>
    </w:p>
    <w:p w14:paraId="430DC01A" w14:textId="77777777" w:rsidR="0038258E" w:rsidRPr="00260995" w:rsidRDefault="0038258E" w:rsidP="0038258E">
      <w:pPr>
        <w:spacing w:after="0" w:line="240" w:lineRule="auto"/>
        <w:rPr>
          <w:i/>
          <w:iCs/>
          <w:sz w:val="22"/>
          <w:szCs w:val="22"/>
        </w:rPr>
      </w:pPr>
      <w:r w:rsidRPr="00260995">
        <w:rPr>
          <w:sz w:val="22"/>
          <w:szCs w:val="22"/>
        </w:rPr>
        <w:t xml:space="preserve">Clark T and Thompson, L (2012). Policymaking and the information revolution. </w:t>
      </w:r>
      <w:r w:rsidRPr="00260995">
        <w:rPr>
          <w:i/>
          <w:iCs/>
          <w:sz w:val="22"/>
          <w:szCs w:val="22"/>
        </w:rPr>
        <w:t xml:space="preserve">OECD Observer. </w:t>
      </w:r>
    </w:p>
    <w:p w14:paraId="018F6AE8" w14:textId="77777777" w:rsidR="0038258E" w:rsidRPr="00260995" w:rsidRDefault="001518D5" w:rsidP="0038258E">
      <w:pPr>
        <w:spacing w:after="0" w:line="240" w:lineRule="auto"/>
        <w:ind w:left="720"/>
        <w:rPr>
          <w:sz w:val="22"/>
          <w:szCs w:val="22"/>
        </w:rPr>
      </w:pPr>
      <w:hyperlink r:id="rId8" w:history="1">
        <w:r w:rsidR="0038258E" w:rsidRPr="00260995">
          <w:rPr>
            <w:rStyle w:val="Hyperlink"/>
            <w:sz w:val="22"/>
            <w:szCs w:val="22"/>
          </w:rPr>
          <w:t>https://oecdobserver.org/news/fullstory.php/aid/3908/Policymaking_and_the_information_revolution.html</w:t>
        </w:r>
      </w:hyperlink>
    </w:p>
    <w:p w14:paraId="7605085D" w14:textId="77777777" w:rsidR="0038258E" w:rsidRPr="00260995" w:rsidRDefault="0038258E" w:rsidP="0038258E">
      <w:pPr>
        <w:spacing w:after="0" w:line="240" w:lineRule="auto"/>
        <w:rPr>
          <w:sz w:val="22"/>
          <w:szCs w:val="22"/>
        </w:rPr>
      </w:pPr>
      <w:r w:rsidRPr="00260995">
        <w:rPr>
          <w:sz w:val="22"/>
          <w:szCs w:val="22"/>
        </w:rPr>
        <w:t xml:space="preserve">Cobb, Roger and Charles D. Elder 1983. Participation in American Politics:  The Dynamics of </w:t>
      </w:r>
    </w:p>
    <w:p w14:paraId="3A1EDFEF" w14:textId="77777777" w:rsidR="0038258E" w:rsidRPr="00260995" w:rsidRDefault="0038258E" w:rsidP="00214793">
      <w:pPr>
        <w:spacing w:after="0" w:line="240" w:lineRule="auto"/>
        <w:ind w:firstLine="720"/>
        <w:rPr>
          <w:sz w:val="22"/>
          <w:szCs w:val="22"/>
        </w:rPr>
      </w:pPr>
      <w:r w:rsidRPr="00260995">
        <w:rPr>
          <w:sz w:val="22"/>
          <w:szCs w:val="22"/>
        </w:rPr>
        <w:t>Agenda-Building.  Baltimore:  Johns Hopkins Press</w:t>
      </w:r>
    </w:p>
    <w:p w14:paraId="4D81947D"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t>Desmarais, B. A., Harden, J. J., &amp; Boehmke, F. J. (2015). Persistent policy pathways: Inferring diffusion networks in the American states. </w:t>
      </w:r>
      <w:r w:rsidRPr="00260995">
        <w:rPr>
          <w:i/>
          <w:iCs/>
          <w:sz w:val="22"/>
          <w:szCs w:val="22"/>
          <w:shd w:val="clear" w:color="auto" w:fill="FFFFFF"/>
        </w:rPr>
        <w:t>American Political Science Review</w:t>
      </w:r>
      <w:r w:rsidRPr="00260995">
        <w:rPr>
          <w:sz w:val="22"/>
          <w:szCs w:val="22"/>
          <w:shd w:val="clear" w:color="auto" w:fill="FFFFFF"/>
        </w:rPr>
        <w:t>, </w:t>
      </w:r>
      <w:r w:rsidRPr="00260995">
        <w:rPr>
          <w:i/>
          <w:iCs/>
          <w:sz w:val="22"/>
          <w:szCs w:val="22"/>
          <w:shd w:val="clear" w:color="auto" w:fill="FFFFFF"/>
        </w:rPr>
        <w:t>109</w:t>
      </w:r>
      <w:r w:rsidRPr="00260995">
        <w:rPr>
          <w:sz w:val="22"/>
          <w:szCs w:val="22"/>
          <w:shd w:val="clear" w:color="auto" w:fill="FFFFFF"/>
        </w:rPr>
        <w:t>(2), 392-406.</w:t>
      </w:r>
    </w:p>
    <w:p w14:paraId="15476E17"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t>DiMaggio, P., &amp; Bonikowski, B. (2008). Make money surfing the web? The impact of Internet use on the earnings of US workers. </w:t>
      </w:r>
      <w:r w:rsidRPr="00260995">
        <w:rPr>
          <w:i/>
          <w:iCs/>
          <w:sz w:val="22"/>
          <w:szCs w:val="22"/>
          <w:shd w:val="clear" w:color="auto" w:fill="FFFFFF"/>
        </w:rPr>
        <w:t>American Sociological Review</w:t>
      </w:r>
      <w:r w:rsidRPr="00260995">
        <w:rPr>
          <w:sz w:val="22"/>
          <w:szCs w:val="22"/>
          <w:shd w:val="clear" w:color="auto" w:fill="FFFFFF"/>
        </w:rPr>
        <w:t>, </w:t>
      </w:r>
      <w:r w:rsidRPr="00260995">
        <w:rPr>
          <w:i/>
          <w:iCs/>
          <w:sz w:val="22"/>
          <w:szCs w:val="22"/>
          <w:shd w:val="clear" w:color="auto" w:fill="FFFFFF"/>
        </w:rPr>
        <w:t>73</w:t>
      </w:r>
      <w:r w:rsidRPr="00260995">
        <w:rPr>
          <w:sz w:val="22"/>
          <w:szCs w:val="22"/>
          <w:shd w:val="clear" w:color="auto" w:fill="FFFFFF"/>
        </w:rPr>
        <w:t>(2), 227-250.</w:t>
      </w:r>
    </w:p>
    <w:p w14:paraId="70572BDD" w14:textId="77777777" w:rsidR="0038258E" w:rsidRPr="00260995" w:rsidRDefault="0038258E" w:rsidP="0038258E">
      <w:pPr>
        <w:spacing w:after="0" w:line="240" w:lineRule="auto"/>
        <w:ind w:left="720" w:hanging="720"/>
        <w:rPr>
          <w:color w:val="222222"/>
          <w:sz w:val="22"/>
          <w:szCs w:val="22"/>
          <w:shd w:val="clear" w:color="auto" w:fill="FFFFFF"/>
        </w:rPr>
      </w:pPr>
      <w:r w:rsidRPr="00260995">
        <w:rPr>
          <w:color w:val="222222"/>
          <w:sz w:val="22"/>
          <w:szCs w:val="22"/>
          <w:shd w:val="clear" w:color="auto" w:fill="FFFFFF"/>
        </w:rPr>
        <w:t>Dobson, J. E., &amp; Campbell, J. S. (2014). The flatness of US states. </w:t>
      </w:r>
      <w:r w:rsidRPr="00260995">
        <w:rPr>
          <w:i/>
          <w:iCs/>
          <w:color w:val="222222"/>
          <w:sz w:val="22"/>
          <w:szCs w:val="22"/>
          <w:shd w:val="clear" w:color="auto" w:fill="FFFFFF"/>
        </w:rPr>
        <w:t>Geographical Review</w:t>
      </w:r>
      <w:r w:rsidRPr="00260995">
        <w:rPr>
          <w:color w:val="222222"/>
          <w:sz w:val="22"/>
          <w:szCs w:val="22"/>
          <w:shd w:val="clear" w:color="auto" w:fill="FFFFFF"/>
        </w:rPr>
        <w:t>, </w:t>
      </w:r>
      <w:r w:rsidRPr="00260995">
        <w:rPr>
          <w:i/>
          <w:iCs/>
          <w:color w:val="222222"/>
          <w:sz w:val="22"/>
          <w:szCs w:val="22"/>
          <w:shd w:val="clear" w:color="auto" w:fill="FFFFFF"/>
        </w:rPr>
        <w:t>104</w:t>
      </w:r>
      <w:r w:rsidRPr="00260995">
        <w:rPr>
          <w:color w:val="222222"/>
          <w:sz w:val="22"/>
          <w:szCs w:val="22"/>
          <w:shd w:val="clear" w:color="auto" w:fill="FFFFFF"/>
        </w:rPr>
        <w:t>(1), 1-9.f</w:t>
      </w:r>
    </w:p>
    <w:p w14:paraId="5B3AB060" w14:textId="77777777" w:rsidR="0038258E" w:rsidRPr="00260995" w:rsidRDefault="0038258E" w:rsidP="0038258E">
      <w:pPr>
        <w:spacing w:after="0" w:line="240" w:lineRule="auto"/>
        <w:ind w:left="720" w:hanging="720"/>
        <w:rPr>
          <w:color w:val="222222"/>
          <w:sz w:val="22"/>
          <w:szCs w:val="22"/>
          <w:shd w:val="clear" w:color="auto" w:fill="FFFFFF"/>
        </w:rPr>
      </w:pPr>
      <w:r w:rsidRPr="00260995">
        <w:rPr>
          <w:color w:val="222222"/>
          <w:sz w:val="22"/>
          <w:szCs w:val="22"/>
          <w:shd w:val="clear" w:color="auto" w:fill="FFFFFF"/>
        </w:rPr>
        <w:t>Dolowitz, D., &amp; Marsh, D. (1996). Who learns what from whom: a review of the policy transfer literature. </w:t>
      </w:r>
      <w:r w:rsidRPr="00260995">
        <w:rPr>
          <w:i/>
          <w:iCs/>
          <w:color w:val="222222"/>
          <w:sz w:val="22"/>
          <w:szCs w:val="22"/>
          <w:shd w:val="clear" w:color="auto" w:fill="FFFFFF"/>
        </w:rPr>
        <w:t>Political studies</w:t>
      </w:r>
      <w:r w:rsidRPr="00260995">
        <w:rPr>
          <w:color w:val="222222"/>
          <w:sz w:val="22"/>
          <w:szCs w:val="22"/>
          <w:shd w:val="clear" w:color="auto" w:fill="FFFFFF"/>
        </w:rPr>
        <w:t>, </w:t>
      </w:r>
      <w:r w:rsidRPr="00260995">
        <w:rPr>
          <w:i/>
          <w:iCs/>
          <w:color w:val="222222"/>
          <w:sz w:val="22"/>
          <w:szCs w:val="22"/>
          <w:shd w:val="clear" w:color="auto" w:fill="FFFFFF"/>
        </w:rPr>
        <w:t>44</w:t>
      </w:r>
      <w:r w:rsidRPr="00260995">
        <w:rPr>
          <w:color w:val="222222"/>
          <w:sz w:val="22"/>
          <w:szCs w:val="22"/>
          <w:shd w:val="clear" w:color="auto" w:fill="FFFFFF"/>
        </w:rPr>
        <w:t>(2), 343-357.</w:t>
      </w:r>
    </w:p>
    <w:p w14:paraId="758D2CB6" w14:textId="77777777" w:rsidR="0038258E" w:rsidRPr="00260995" w:rsidRDefault="0038258E" w:rsidP="0038258E">
      <w:pPr>
        <w:spacing w:after="0" w:line="240" w:lineRule="auto"/>
        <w:rPr>
          <w:sz w:val="22"/>
          <w:szCs w:val="22"/>
        </w:rPr>
      </w:pPr>
      <w:r w:rsidRPr="00260995">
        <w:rPr>
          <w:sz w:val="22"/>
          <w:szCs w:val="22"/>
        </w:rPr>
        <w:t xml:space="preserve">Downs, Anthony. 1972.  Up and Down with Ecology:  The Issue-Attention Cycle.  Public Interest (28):  </w:t>
      </w:r>
    </w:p>
    <w:p w14:paraId="43F93A27" w14:textId="77777777" w:rsidR="0038258E" w:rsidRPr="00260995" w:rsidRDefault="0038258E" w:rsidP="00214793">
      <w:pPr>
        <w:spacing w:after="0" w:line="240" w:lineRule="auto"/>
        <w:ind w:firstLine="720"/>
        <w:rPr>
          <w:sz w:val="22"/>
          <w:szCs w:val="22"/>
        </w:rPr>
      </w:pPr>
      <w:r w:rsidRPr="00260995">
        <w:rPr>
          <w:sz w:val="22"/>
          <w:szCs w:val="22"/>
        </w:rPr>
        <w:t>38-50.</w:t>
      </w:r>
    </w:p>
    <w:p w14:paraId="5C8044E1" w14:textId="77777777" w:rsidR="0038258E" w:rsidRPr="00260995" w:rsidRDefault="0038258E" w:rsidP="0038258E">
      <w:pPr>
        <w:spacing w:after="0" w:line="240" w:lineRule="auto"/>
        <w:rPr>
          <w:sz w:val="22"/>
          <w:szCs w:val="22"/>
        </w:rPr>
      </w:pPr>
      <w:r w:rsidRPr="00260995">
        <w:rPr>
          <w:sz w:val="22"/>
          <w:szCs w:val="22"/>
        </w:rPr>
        <w:t xml:space="preserve">Feezell, J. T. (2018). Agenda Setting through Social Media: The Importance of Incidental News Exposure </w:t>
      </w:r>
    </w:p>
    <w:p w14:paraId="3FDF5ED4" w14:textId="77777777" w:rsidR="0038258E" w:rsidRPr="00260995" w:rsidRDefault="0038258E" w:rsidP="0038258E">
      <w:pPr>
        <w:spacing w:after="0" w:line="240" w:lineRule="auto"/>
        <w:ind w:firstLine="720"/>
        <w:rPr>
          <w:sz w:val="22"/>
          <w:szCs w:val="22"/>
        </w:rPr>
      </w:pPr>
      <w:r w:rsidRPr="00260995">
        <w:rPr>
          <w:sz w:val="22"/>
          <w:szCs w:val="22"/>
        </w:rPr>
        <w:t xml:space="preserve">and Social Filtering in the Digital Era. Political Research Quarterly, 71(2), 482–494. </w:t>
      </w:r>
    </w:p>
    <w:p w14:paraId="7745C4DA" w14:textId="77777777" w:rsidR="0038258E" w:rsidRPr="00260995" w:rsidRDefault="0038258E" w:rsidP="00214793">
      <w:pPr>
        <w:spacing w:after="0" w:line="240" w:lineRule="auto"/>
        <w:ind w:left="720"/>
        <w:rPr>
          <w:sz w:val="22"/>
          <w:szCs w:val="22"/>
        </w:rPr>
      </w:pPr>
      <w:r w:rsidRPr="00260995">
        <w:rPr>
          <w:sz w:val="22"/>
          <w:szCs w:val="22"/>
        </w:rPr>
        <w:t>https://doi.org/10.1177/1065912917744895</w:t>
      </w:r>
    </w:p>
    <w:p w14:paraId="5AF4C278" w14:textId="77777777" w:rsidR="00927140" w:rsidRPr="00260995" w:rsidRDefault="00927140" w:rsidP="00927140">
      <w:pPr>
        <w:spacing w:after="0" w:line="240" w:lineRule="auto"/>
        <w:ind w:left="720" w:hanging="720"/>
        <w:rPr>
          <w:sz w:val="22"/>
          <w:szCs w:val="22"/>
        </w:rPr>
      </w:pPr>
      <w:r w:rsidRPr="00260995">
        <w:rPr>
          <w:sz w:val="22"/>
          <w:szCs w:val="22"/>
        </w:rPr>
        <w:t>Gaino</w:t>
      </w:r>
      <w:r>
        <w:rPr>
          <w:sz w:val="22"/>
          <w:szCs w:val="22"/>
        </w:rPr>
        <w:t>u</w:t>
      </w:r>
      <w:r w:rsidRPr="00260995">
        <w:rPr>
          <w:sz w:val="22"/>
          <w:szCs w:val="22"/>
        </w:rPr>
        <w:t xml:space="preserve">s, Jason and Kevin Wagner. (2013) </w:t>
      </w:r>
      <w:r w:rsidRPr="00260995">
        <w:rPr>
          <w:i/>
          <w:sz w:val="22"/>
          <w:szCs w:val="22"/>
        </w:rPr>
        <w:t xml:space="preserve">Tweeting to Power: The Social Media Revolution in American Politics. </w:t>
      </w:r>
      <w:r w:rsidRPr="00260995">
        <w:rPr>
          <w:sz w:val="22"/>
          <w:szCs w:val="22"/>
        </w:rPr>
        <w:t>Oxford University Press.</w:t>
      </w:r>
    </w:p>
    <w:p w14:paraId="30DBEB9F"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t>Garrett, K. N., &amp; Jansa, J. M. (2015). Interest group influence in policy diffusion networks. </w:t>
      </w:r>
      <w:r w:rsidRPr="00260995">
        <w:rPr>
          <w:i/>
          <w:iCs/>
          <w:sz w:val="22"/>
          <w:szCs w:val="22"/>
          <w:shd w:val="clear" w:color="auto" w:fill="FFFFFF"/>
        </w:rPr>
        <w:t>State Politics &amp; Policy Quarterly</w:t>
      </w:r>
      <w:r w:rsidRPr="00260995">
        <w:rPr>
          <w:sz w:val="22"/>
          <w:szCs w:val="22"/>
          <w:shd w:val="clear" w:color="auto" w:fill="FFFFFF"/>
        </w:rPr>
        <w:t>, </w:t>
      </w:r>
      <w:r w:rsidRPr="00260995">
        <w:rPr>
          <w:i/>
          <w:iCs/>
          <w:sz w:val="22"/>
          <w:szCs w:val="22"/>
          <w:shd w:val="clear" w:color="auto" w:fill="FFFFFF"/>
        </w:rPr>
        <w:t>15</w:t>
      </w:r>
      <w:r w:rsidRPr="00260995">
        <w:rPr>
          <w:sz w:val="22"/>
          <w:szCs w:val="22"/>
          <w:shd w:val="clear" w:color="auto" w:fill="FFFFFF"/>
        </w:rPr>
        <w:t>(3), 387-417.</w:t>
      </w:r>
    </w:p>
    <w:p w14:paraId="7FEAF645" w14:textId="77777777" w:rsidR="0038258E" w:rsidRPr="00260995" w:rsidRDefault="0038258E" w:rsidP="0038258E">
      <w:pPr>
        <w:spacing w:after="0" w:line="240" w:lineRule="auto"/>
        <w:ind w:left="720" w:hanging="720"/>
        <w:rPr>
          <w:i/>
          <w:iCs/>
          <w:sz w:val="22"/>
          <w:szCs w:val="22"/>
          <w:shd w:val="clear" w:color="auto" w:fill="FFFFFF"/>
        </w:rPr>
      </w:pPr>
      <w:r w:rsidRPr="00260995">
        <w:rPr>
          <w:sz w:val="22"/>
          <w:szCs w:val="22"/>
          <w:shd w:val="clear" w:color="auto" w:fill="FFFFFF"/>
        </w:rPr>
        <w:t>Gilardi, F. (2016). Four ways we can improve policy diffusion research. </w:t>
      </w:r>
      <w:r w:rsidRPr="00260995">
        <w:rPr>
          <w:i/>
          <w:iCs/>
          <w:sz w:val="22"/>
          <w:szCs w:val="22"/>
          <w:shd w:val="clear" w:color="auto" w:fill="FFFFFF"/>
        </w:rPr>
        <w:t xml:space="preserve">State Politics &amp; Policy </w:t>
      </w:r>
    </w:p>
    <w:p w14:paraId="73F6A827" w14:textId="77777777" w:rsidR="0038258E" w:rsidRPr="00260995" w:rsidRDefault="0038258E" w:rsidP="0038258E">
      <w:pPr>
        <w:spacing w:after="0" w:line="240" w:lineRule="auto"/>
        <w:ind w:left="720" w:hanging="720"/>
        <w:rPr>
          <w:sz w:val="22"/>
          <w:szCs w:val="22"/>
          <w:shd w:val="clear" w:color="auto" w:fill="FFFFFF"/>
        </w:rPr>
      </w:pPr>
      <w:r w:rsidRPr="00260995">
        <w:rPr>
          <w:i/>
          <w:iCs/>
          <w:sz w:val="22"/>
          <w:szCs w:val="22"/>
          <w:shd w:val="clear" w:color="auto" w:fill="FFFFFF"/>
        </w:rPr>
        <w:tab/>
        <w:t>Quarterly</w:t>
      </w:r>
      <w:r w:rsidRPr="00260995">
        <w:rPr>
          <w:sz w:val="22"/>
          <w:szCs w:val="22"/>
          <w:shd w:val="clear" w:color="auto" w:fill="FFFFFF"/>
        </w:rPr>
        <w:t>, </w:t>
      </w:r>
      <w:r w:rsidRPr="00260995">
        <w:rPr>
          <w:i/>
          <w:iCs/>
          <w:sz w:val="22"/>
          <w:szCs w:val="22"/>
          <w:shd w:val="clear" w:color="auto" w:fill="FFFFFF"/>
        </w:rPr>
        <w:t>16</w:t>
      </w:r>
      <w:r w:rsidRPr="00260995">
        <w:rPr>
          <w:sz w:val="22"/>
          <w:szCs w:val="22"/>
          <w:shd w:val="clear" w:color="auto" w:fill="FFFFFF"/>
        </w:rPr>
        <w:t>(1), 8-21.</w:t>
      </w:r>
    </w:p>
    <w:p w14:paraId="3BB56E42" w14:textId="77777777" w:rsidR="0038258E" w:rsidRPr="00260995" w:rsidRDefault="0038258E" w:rsidP="0038258E">
      <w:pPr>
        <w:spacing w:after="0" w:line="240" w:lineRule="auto"/>
        <w:ind w:left="720" w:hanging="720"/>
        <w:rPr>
          <w:sz w:val="22"/>
          <w:szCs w:val="22"/>
        </w:rPr>
      </w:pPr>
      <w:r w:rsidRPr="00260995">
        <w:rPr>
          <w:sz w:val="22"/>
          <w:szCs w:val="22"/>
        </w:rPr>
        <w:t xml:space="preserve">Gray, V. (1973) “Innovation in the States: A Diffusion Study.” </w:t>
      </w:r>
      <w:r w:rsidRPr="00260995">
        <w:rPr>
          <w:i/>
          <w:sz w:val="22"/>
          <w:szCs w:val="22"/>
        </w:rPr>
        <w:t>American Political Science</w:t>
      </w:r>
      <w:r w:rsidRPr="00260995">
        <w:rPr>
          <w:sz w:val="22"/>
          <w:szCs w:val="22"/>
        </w:rPr>
        <w:t xml:space="preserve"> </w:t>
      </w:r>
    </w:p>
    <w:p w14:paraId="3A53BA56" w14:textId="77777777" w:rsidR="0038258E" w:rsidRPr="00260995" w:rsidRDefault="0038258E" w:rsidP="0038258E">
      <w:pPr>
        <w:spacing w:after="0" w:line="240" w:lineRule="auto"/>
        <w:ind w:left="720" w:hanging="720"/>
        <w:rPr>
          <w:sz w:val="22"/>
          <w:szCs w:val="22"/>
        </w:rPr>
      </w:pPr>
      <w:r w:rsidRPr="00260995">
        <w:rPr>
          <w:sz w:val="22"/>
          <w:szCs w:val="22"/>
        </w:rPr>
        <w:tab/>
        <w:t>Review 67 (4): 1174–185.</w:t>
      </w:r>
    </w:p>
    <w:p w14:paraId="39203F59"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t xml:space="preserve">Grossback, L. J., Nicholson-Crotty, S., &amp; Peterson, D. A. (2004). Ideology and learning in policy </w:t>
      </w:r>
    </w:p>
    <w:p w14:paraId="252B0576"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lastRenderedPageBreak/>
        <w:tab/>
        <w:t>diffusion. </w:t>
      </w:r>
      <w:r w:rsidRPr="00260995">
        <w:rPr>
          <w:i/>
          <w:iCs/>
          <w:sz w:val="22"/>
          <w:szCs w:val="22"/>
          <w:shd w:val="clear" w:color="auto" w:fill="FFFFFF"/>
        </w:rPr>
        <w:t>American Politics Research</w:t>
      </w:r>
      <w:r w:rsidRPr="00260995">
        <w:rPr>
          <w:sz w:val="22"/>
          <w:szCs w:val="22"/>
          <w:shd w:val="clear" w:color="auto" w:fill="FFFFFF"/>
        </w:rPr>
        <w:t>, </w:t>
      </w:r>
      <w:r w:rsidRPr="00260995">
        <w:rPr>
          <w:i/>
          <w:iCs/>
          <w:sz w:val="22"/>
          <w:szCs w:val="22"/>
          <w:shd w:val="clear" w:color="auto" w:fill="FFFFFF"/>
        </w:rPr>
        <w:t>32</w:t>
      </w:r>
      <w:r w:rsidRPr="00260995">
        <w:rPr>
          <w:sz w:val="22"/>
          <w:szCs w:val="22"/>
          <w:shd w:val="clear" w:color="auto" w:fill="FFFFFF"/>
        </w:rPr>
        <w:t>(5), 521-545.</w:t>
      </w:r>
    </w:p>
    <w:p w14:paraId="39EB72B2" w14:textId="1046845E" w:rsidR="003A1AE6" w:rsidRPr="00260995" w:rsidRDefault="00A5606F" w:rsidP="00A5606F">
      <w:pPr>
        <w:spacing w:after="0" w:line="240" w:lineRule="auto"/>
        <w:rPr>
          <w:sz w:val="22"/>
          <w:szCs w:val="22"/>
        </w:rPr>
      </w:pPr>
      <w:r w:rsidRPr="00260995">
        <w:rPr>
          <w:color w:val="222222"/>
          <w:sz w:val="22"/>
          <w:szCs w:val="22"/>
          <w:shd w:val="clear" w:color="auto" w:fill="FFFFFF"/>
        </w:rPr>
        <w:t xml:space="preserve">Hale, K. (2011) How Information Matters: Networks and Public Policy Innovation. Georgetown </w:t>
      </w:r>
      <w:r w:rsidRPr="00260995">
        <w:rPr>
          <w:color w:val="222222"/>
          <w:sz w:val="22"/>
          <w:szCs w:val="22"/>
          <w:shd w:val="clear" w:color="auto" w:fill="FFFFFF"/>
        </w:rPr>
        <w:tab/>
        <w:t xml:space="preserve">University Press. </w:t>
      </w:r>
    </w:p>
    <w:p w14:paraId="274C646E" w14:textId="77777777" w:rsidR="0038258E" w:rsidRPr="00260995" w:rsidRDefault="0038258E" w:rsidP="0038258E">
      <w:pPr>
        <w:spacing w:after="0" w:line="240" w:lineRule="auto"/>
        <w:rPr>
          <w:sz w:val="22"/>
          <w:szCs w:val="22"/>
        </w:rPr>
      </w:pPr>
      <w:r w:rsidRPr="00260995">
        <w:rPr>
          <w:sz w:val="22"/>
          <w:szCs w:val="22"/>
        </w:rPr>
        <w:t xml:space="preserve">Hindman, M. (2008). </w:t>
      </w:r>
      <w:r w:rsidRPr="00260995">
        <w:rPr>
          <w:i/>
          <w:sz w:val="22"/>
          <w:szCs w:val="22"/>
        </w:rPr>
        <w:t>The Myth of Digital Democracy</w:t>
      </w:r>
      <w:r w:rsidRPr="00260995">
        <w:rPr>
          <w:sz w:val="22"/>
          <w:szCs w:val="22"/>
        </w:rPr>
        <w:t>. Princeton University Press.</w:t>
      </w:r>
    </w:p>
    <w:p w14:paraId="38B5A681" w14:textId="77777777" w:rsidR="0038258E" w:rsidRPr="00260995" w:rsidRDefault="0038258E" w:rsidP="0038258E">
      <w:pPr>
        <w:spacing w:after="0" w:line="240" w:lineRule="auto"/>
        <w:rPr>
          <w:sz w:val="22"/>
          <w:szCs w:val="22"/>
          <w:shd w:val="clear" w:color="auto" w:fill="FFFFFF"/>
        </w:rPr>
      </w:pPr>
    </w:p>
    <w:p w14:paraId="2BC174D6"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t>Hopkins, D. J. (2018). </w:t>
      </w:r>
      <w:r w:rsidRPr="00260995">
        <w:rPr>
          <w:i/>
          <w:iCs/>
          <w:sz w:val="22"/>
          <w:szCs w:val="22"/>
          <w:shd w:val="clear" w:color="auto" w:fill="FFFFFF"/>
        </w:rPr>
        <w:t>The increasingly united states: How and why American political behavior nationalized</w:t>
      </w:r>
      <w:r w:rsidRPr="00260995">
        <w:rPr>
          <w:sz w:val="22"/>
          <w:szCs w:val="22"/>
          <w:shd w:val="clear" w:color="auto" w:fill="FFFFFF"/>
        </w:rPr>
        <w:t>. University of Chicago Press.</w:t>
      </w:r>
    </w:p>
    <w:p w14:paraId="5D3AEBAE" w14:textId="77777777" w:rsidR="0038258E" w:rsidRPr="00260995" w:rsidRDefault="0038258E" w:rsidP="0038258E">
      <w:pPr>
        <w:spacing w:after="0" w:line="240" w:lineRule="auto"/>
        <w:ind w:left="720" w:hanging="720"/>
        <w:rPr>
          <w:sz w:val="22"/>
          <w:szCs w:val="22"/>
        </w:rPr>
      </w:pPr>
      <w:r w:rsidRPr="00260995">
        <w:rPr>
          <w:sz w:val="22"/>
          <w:szCs w:val="22"/>
        </w:rPr>
        <w:t>Jones, Bryan D. and Frank R. Baumgartner. 2005.  The Politics of Attention:  How Government Prioritizes Problems.  Chicago:  University of Chicago Press</w:t>
      </w:r>
    </w:p>
    <w:p w14:paraId="387065D3"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t>Karch, A., Nicholson-Crotty, S. C., Woods, N. D., &amp; Bowman, A. O. M. (2016). Policy diffusion and the pro-innovation bias. </w:t>
      </w:r>
      <w:r w:rsidRPr="00260995">
        <w:rPr>
          <w:i/>
          <w:iCs/>
          <w:sz w:val="22"/>
          <w:szCs w:val="22"/>
          <w:shd w:val="clear" w:color="auto" w:fill="FFFFFF"/>
        </w:rPr>
        <w:t>Political Research Quarterly</w:t>
      </w:r>
      <w:r w:rsidRPr="00260995">
        <w:rPr>
          <w:sz w:val="22"/>
          <w:szCs w:val="22"/>
          <w:shd w:val="clear" w:color="auto" w:fill="FFFFFF"/>
        </w:rPr>
        <w:t>, </w:t>
      </w:r>
      <w:r w:rsidRPr="00260995">
        <w:rPr>
          <w:i/>
          <w:iCs/>
          <w:sz w:val="22"/>
          <w:szCs w:val="22"/>
          <w:shd w:val="clear" w:color="auto" w:fill="FFFFFF"/>
        </w:rPr>
        <w:t>69</w:t>
      </w:r>
      <w:r w:rsidRPr="00260995">
        <w:rPr>
          <w:sz w:val="22"/>
          <w:szCs w:val="22"/>
          <w:shd w:val="clear" w:color="auto" w:fill="FFFFFF"/>
        </w:rPr>
        <w:t>(1), 83-95.</w:t>
      </w:r>
    </w:p>
    <w:p w14:paraId="4AFF33E8" w14:textId="77777777" w:rsidR="0038258E" w:rsidRPr="00260995" w:rsidRDefault="0038258E" w:rsidP="00214793">
      <w:pPr>
        <w:spacing w:after="0" w:line="240" w:lineRule="auto"/>
        <w:rPr>
          <w:sz w:val="22"/>
          <w:szCs w:val="22"/>
        </w:rPr>
      </w:pPr>
      <w:r w:rsidRPr="00260995">
        <w:rPr>
          <w:sz w:val="22"/>
          <w:szCs w:val="22"/>
        </w:rPr>
        <w:t>Kingdon, John W.  1995.  Agendas, Alternatives and Public Policies, 2</w:t>
      </w:r>
      <w:r w:rsidRPr="00260995">
        <w:rPr>
          <w:sz w:val="22"/>
          <w:szCs w:val="22"/>
          <w:vertAlign w:val="superscript"/>
        </w:rPr>
        <w:t>nd</w:t>
      </w:r>
      <w:r w:rsidRPr="00260995">
        <w:rPr>
          <w:sz w:val="22"/>
          <w:szCs w:val="22"/>
        </w:rPr>
        <w:t xml:space="preserve"> ed.  Harper-Collins.</w:t>
      </w:r>
    </w:p>
    <w:p w14:paraId="3B772678"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t>Kreizter, R. J., &amp; Boehmke, F. J. (2016). Modeling heterogeneity in pooled event history analysis. </w:t>
      </w:r>
      <w:r w:rsidRPr="00260995">
        <w:rPr>
          <w:i/>
          <w:iCs/>
          <w:sz w:val="22"/>
          <w:szCs w:val="22"/>
          <w:shd w:val="clear" w:color="auto" w:fill="FFFFFF"/>
        </w:rPr>
        <w:t>State Politics &amp; Policy Quarterly</w:t>
      </w:r>
      <w:r w:rsidRPr="00260995">
        <w:rPr>
          <w:sz w:val="22"/>
          <w:szCs w:val="22"/>
          <w:shd w:val="clear" w:color="auto" w:fill="FFFFFF"/>
        </w:rPr>
        <w:t>, </w:t>
      </w:r>
      <w:r w:rsidRPr="00260995">
        <w:rPr>
          <w:i/>
          <w:iCs/>
          <w:sz w:val="22"/>
          <w:szCs w:val="22"/>
          <w:shd w:val="clear" w:color="auto" w:fill="FFFFFF"/>
        </w:rPr>
        <w:t>16</w:t>
      </w:r>
      <w:r w:rsidRPr="00260995">
        <w:rPr>
          <w:sz w:val="22"/>
          <w:szCs w:val="22"/>
          <w:shd w:val="clear" w:color="auto" w:fill="FFFFFF"/>
        </w:rPr>
        <w:t>(1), 121-141.</w:t>
      </w:r>
    </w:p>
    <w:p w14:paraId="0ADD0740" w14:textId="77777777" w:rsidR="0038258E" w:rsidRPr="00260995" w:rsidRDefault="0038258E" w:rsidP="0038258E">
      <w:pPr>
        <w:autoSpaceDE w:val="0"/>
        <w:autoSpaceDN w:val="0"/>
        <w:adjustRightInd w:val="0"/>
        <w:spacing w:after="0" w:line="240" w:lineRule="auto"/>
        <w:rPr>
          <w:sz w:val="22"/>
          <w:szCs w:val="22"/>
        </w:rPr>
      </w:pPr>
      <w:r w:rsidRPr="00260995">
        <w:rPr>
          <w:sz w:val="22"/>
          <w:szCs w:val="22"/>
        </w:rPr>
        <w:t>Lelkes, Y., Sood, G., and Iyengar, S. (2015). “The hostile audience: The effect of access to</w:t>
      </w:r>
    </w:p>
    <w:p w14:paraId="5C6BD0DB" w14:textId="77777777" w:rsidR="0038258E" w:rsidRPr="00260995" w:rsidRDefault="0038258E" w:rsidP="0038258E">
      <w:pPr>
        <w:spacing w:after="0" w:line="240" w:lineRule="auto"/>
        <w:ind w:firstLine="720"/>
        <w:rPr>
          <w:i/>
          <w:iCs/>
          <w:sz w:val="22"/>
          <w:szCs w:val="22"/>
        </w:rPr>
      </w:pPr>
      <w:r w:rsidRPr="00260995">
        <w:rPr>
          <w:sz w:val="22"/>
          <w:szCs w:val="22"/>
        </w:rPr>
        <w:t xml:space="preserve">broadband internet on partisan affect.” </w:t>
      </w:r>
      <w:r w:rsidRPr="00260995">
        <w:rPr>
          <w:i/>
          <w:iCs/>
          <w:sz w:val="22"/>
          <w:szCs w:val="22"/>
        </w:rPr>
        <w:t>American Journal of Political Science.</w:t>
      </w:r>
    </w:p>
    <w:p w14:paraId="2F383AA6" w14:textId="77777777" w:rsidR="0038258E" w:rsidRPr="00260995" w:rsidRDefault="0038258E" w:rsidP="0038258E">
      <w:pPr>
        <w:spacing w:after="0" w:line="240" w:lineRule="auto"/>
        <w:ind w:firstLine="720"/>
        <w:rPr>
          <w:sz w:val="22"/>
          <w:szCs w:val="22"/>
        </w:rPr>
      </w:pPr>
      <w:r w:rsidRPr="00260995">
        <w:rPr>
          <w:sz w:val="22"/>
          <w:szCs w:val="22"/>
        </w:rPr>
        <w:t>61(1):5-20.</w:t>
      </w:r>
    </w:p>
    <w:p w14:paraId="74A14265" w14:textId="77777777" w:rsidR="00553455" w:rsidRPr="00260995" w:rsidRDefault="00553455" w:rsidP="00553455">
      <w:pPr>
        <w:spacing w:after="0" w:line="240" w:lineRule="auto"/>
        <w:rPr>
          <w:color w:val="222222"/>
          <w:sz w:val="22"/>
          <w:szCs w:val="22"/>
          <w:shd w:val="clear" w:color="auto" w:fill="FFFFFF"/>
        </w:rPr>
      </w:pPr>
      <w:r w:rsidRPr="00260995">
        <w:rPr>
          <w:color w:val="222222"/>
          <w:sz w:val="22"/>
          <w:szCs w:val="22"/>
          <w:shd w:val="clear" w:color="auto" w:fill="FFFFFF"/>
        </w:rPr>
        <w:t xml:space="preserve">Mallinson, D. (Working Paper). The Spread of Policy Diffusion Studies: A </w:t>
      </w:r>
    </w:p>
    <w:p w14:paraId="697D060A" w14:textId="77777777" w:rsidR="00553455" w:rsidRPr="00260995" w:rsidRDefault="00553455" w:rsidP="00553455">
      <w:pPr>
        <w:spacing w:after="0" w:line="240" w:lineRule="auto"/>
        <w:ind w:firstLine="720"/>
        <w:rPr>
          <w:spacing w:val="2"/>
          <w:sz w:val="22"/>
          <w:szCs w:val="22"/>
          <w:shd w:val="clear" w:color="auto" w:fill="FFFFFF"/>
        </w:rPr>
      </w:pPr>
      <w:r w:rsidRPr="00260995">
        <w:rPr>
          <w:color w:val="222222"/>
          <w:sz w:val="22"/>
          <w:szCs w:val="22"/>
          <w:shd w:val="clear" w:color="auto" w:fill="FFFFFF"/>
        </w:rPr>
        <w:t xml:space="preserve">Systematic Review and Meta-Analysis, 1990-2018. </w:t>
      </w:r>
      <w:r w:rsidRPr="00260995">
        <w:rPr>
          <w:i/>
          <w:iCs/>
          <w:spacing w:val="2"/>
          <w:sz w:val="22"/>
          <w:szCs w:val="22"/>
          <w:shd w:val="clear" w:color="auto" w:fill="FFFFFF"/>
        </w:rPr>
        <w:t>APSA Preprints</w:t>
      </w:r>
      <w:r w:rsidRPr="00260995">
        <w:rPr>
          <w:spacing w:val="2"/>
          <w:sz w:val="22"/>
          <w:szCs w:val="22"/>
          <w:shd w:val="clear" w:color="auto" w:fill="FFFFFF"/>
        </w:rPr>
        <w:t xml:space="preserve">. doi: </w:t>
      </w:r>
    </w:p>
    <w:p w14:paraId="7C5D9674" w14:textId="77777777" w:rsidR="00553455" w:rsidRPr="00260995" w:rsidRDefault="00553455" w:rsidP="00553455">
      <w:pPr>
        <w:spacing w:after="0" w:line="240" w:lineRule="auto"/>
        <w:ind w:firstLine="720"/>
        <w:rPr>
          <w:i/>
          <w:iCs/>
          <w:color w:val="222222"/>
          <w:sz w:val="22"/>
          <w:szCs w:val="22"/>
          <w:shd w:val="clear" w:color="auto" w:fill="FFFFFF"/>
        </w:rPr>
      </w:pPr>
      <w:r w:rsidRPr="00260995">
        <w:rPr>
          <w:spacing w:val="2"/>
          <w:sz w:val="22"/>
          <w:szCs w:val="22"/>
          <w:shd w:val="clear" w:color="auto" w:fill="FFFFFF"/>
        </w:rPr>
        <w:t>10.33774/apsa-2020-csnt6</w:t>
      </w:r>
    </w:p>
    <w:p w14:paraId="4CC4F290" w14:textId="5E81FA2D" w:rsidR="0038258E" w:rsidRPr="00260995" w:rsidRDefault="0038258E" w:rsidP="0038258E">
      <w:pPr>
        <w:spacing w:after="0" w:line="240" w:lineRule="auto"/>
        <w:ind w:left="720" w:hanging="720"/>
        <w:rPr>
          <w:i/>
          <w:iCs/>
          <w:color w:val="222222"/>
          <w:sz w:val="22"/>
          <w:szCs w:val="22"/>
          <w:highlight w:val="yellow"/>
          <w:shd w:val="clear" w:color="auto" w:fill="FFFFFF"/>
        </w:rPr>
      </w:pPr>
      <w:r w:rsidRPr="00260995">
        <w:rPr>
          <w:color w:val="222222"/>
          <w:sz w:val="22"/>
          <w:szCs w:val="22"/>
          <w:shd w:val="clear" w:color="auto" w:fill="FFFFFF"/>
        </w:rPr>
        <w:t>Mallinson, D. J. (2019). Who Are Your Neighbors? The Role of Ideology and Decline of Geographic Proximity in the Diffusion of Policy Innovations. </w:t>
      </w:r>
      <w:r w:rsidRPr="00260995">
        <w:rPr>
          <w:i/>
          <w:iCs/>
          <w:color w:val="222222"/>
          <w:sz w:val="22"/>
          <w:szCs w:val="22"/>
          <w:shd w:val="clear" w:color="auto" w:fill="FFFFFF"/>
        </w:rPr>
        <w:t>Policy Studies Journal.</w:t>
      </w:r>
      <w:r w:rsidR="003B2FA4" w:rsidRPr="00260995">
        <w:rPr>
          <w:i/>
          <w:iCs/>
          <w:color w:val="222222"/>
          <w:sz w:val="22"/>
          <w:szCs w:val="22"/>
          <w:shd w:val="clear" w:color="auto" w:fill="FFFFFF"/>
        </w:rPr>
        <w:t xml:space="preserve"> </w:t>
      </w:r>
      <w:r w:rsidR="00561C3B" w:rsidRPr="00260995">
        <w:rPr>
          <w:i/>
          <w:iCs/>
          <w:color w:val="222222"/>
          <w:sz w:val="22"/>
          <w:szCs w:val="22"/>
          <w:shd w:val="clear" w:color="auto" w:fill="FFFFFF"/>
        </w:rPr>
        <w:t>https://doi.org/10.1111/psj.12351</w:t>
      </w:r>
    </w:p>
    <w:p w14:paraId="3A9A6D6F"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rPr>
        <w:t xml:space="preserve">Mintrom, M.  (2000.)  </w:t>
      </w:r>
      <w:r w:rsidRPr="00260995">
        <w:rPr>
          <w:i/>
          <w:sz w:val="22"/>
          <w:szCs w:val="22"/>
        </w:rPr>
        <w:t>Policy entrepreneurs and school choice.</w:t>
      </w:r>
      <w:r w:rsidRPr="00260995">
        <w:rPr>
          <w:sz w:val="22"/>
          <w:szCs w:val="22"/>
        </w:rPr>
        <w:t xml:space="preserve">  Georgetown University Press.  </w:t>
      </w:r>
    </w:p>
    <w:p w14:paraId="5164FD1C" w14:textId="77777777" w:rsidR="0038258E" w:rsidRPr="00260995" w:rsidRDefault="0038258E" w:rsidP="0038258E">
      <w:pPr>
        <w:spacing w:after="0" w:line="240" w:lineRule="auto"/>
        <w:ind w:left="720" w:hanging="720"/>
        <w:rPr>
          <w:sz w:val="22"/>
          <w:szCs w:val="22"/>
        </w:rPr>
      </w:pPr>
      <w:r w:rsidRPr="00260995">
        <w:rPr>
          <w:sz w:val="22"/>
          <w:szCs w:val="22"/>
        </w:rPr>
        <w:t xml:space="preserve">Mintrom, M., and S. Vergari. 1998. Policy networks and innovation diffusion: The </w:t>
      </w:r>
    </w:p>
    <w:p w14:paraId="2A4F0772" w14:textId="77777777" w:rsidR="0038258E" w:rsidRPr="00260995" w:rsidRDefault="0038258E" w:rsidP="0038258E">
      <w:pPr>
        <w:spacing w:after="0" w:line="240" w:lineRule="auto"/>
        <w:ind w:left="720" w:hanging="720"/>
        <w:rPr>
          <w:sz w:val="22"/>
          <w:szCs w:val="22"/>
        </w:rPr>
      </w:pPr>
      <w:r w:rsidRPr="00260995">
        <w:rPr>
          <w:sz w:val="22"/>
          <w:szCs w:val="22"/>
        </w:rPr>
        <w:tab/>
        <w:t xml:space="preserve">case of education reform.” </w:t>
      </w:r>
      <w:r w:rsidRPr="00260995">
        <w:rPr>
          <w:i/>
          <w:sz w:val="22"/>
          <w:szCs w:val="22"/>
        </w:rPr>
        <w:t>Journal of Politics</w:t>
      </w:r>
      <w:r w:rsidRPr="00260995">
        <w:rPr>
          <w:sz w:val="22"/>
          <w:szCs w:val="22"/>
        </w:rPr>
        <w:t xml:space="preserve"> 60:126–48.</w:t>
      </w:r>
    </w:p>
    <w:p w14:paraId="34DD65F3" w14:textId="77777777" w:rsidR="0038258E" w:rsidRPr="00260995" w:rsidRDefault="0038258E" w:rsidP="0038258E">
      <w:pPr>
        <w:spacing w:after="0" w:line="240" w:lineRule="auto"/>
        <w:ind w:left="720" w:hanging="720"/>
        <w:rPr>
          <w:sz w:val="22"/>
          <w:szCs w:val="22"/>
          <w:shd w:val="clear" w:color="auto" w:fill="FFFFFF"/>
        </w:rPr>
      </w:pPr>
      <w:r w:rsidRPr="00260995">
        <w:rPr>
          <w:color w:val="222222"/>
          <w:sz w:val="22"/>
          <w:szCs w:val="22"/>
          <w:shd w:val="clear" w:color="auto" w:fill="FFFFFF"/>
        </w:rPr>
        <w:t>Mooney, C. Z. (2001). Modeling regional effects on state policy diffusion. </w:t>
      </w:r>
      <w:r w:rsidRPr="00260995">
        <w:rPr>
          <w:i/>
          <w:iCs/>
          <w:color w:val="222222"/>
          <w:sz w:val="22"/>
          <w:szCs w:val="22"/>
          <w:shd w:val="clear" w:color="auto" w:fill="FFFFFF"/>
        </w:rPr>
        <w:t>Political Research Quarterly</w:t>
      </w:r>
      <w:r w:rsidRPr="00260995">
        <w:rPr>
          <w:color w:val="222222"/>
          <w:sz w:val="22"/>
          <w:szCs w:val="22"/>
          <w:shd w:val="clear" w:color="auto" w:fill="FFFFFF"/>
        </w:rPr>
        <w:t>, </w:t>
      </w:r>
      <w:r w:rsidRPr="00260995">
        <w:rPr>
          <w:i/>
          <w:iCs/>
          <w:color w:val="222222"/>
          <w:sz w:val="22"/>
          <w:szCs w:val="22"/>
          <w:shd w:val="clear" w:color="auto" w:fill="FFFFFF"/>
        </w:rPr>
        <w:t>54</w:t>
      </w:r>
      <w:r w:rsidRPr="00260995">
        <w:rPr>
          <w:color w:val="222222"/>
          <w:sz w:val="22"/>
          <w:szCs w:val="22"/>
          <w:shd w:val="clear" w:color="auto" w:fill="FFFFFF"/>
        </w:rPr>
        <w:t>(1), 103-124.</w:t>
      </w:r>
    </w:p>
    <w:p w14:paraId="2C9CE455" w14:textId="02A6C80C" w:rsidR="0038258E" w:rsidRPr="00260995" w:rsidRDefault="0038258E" w:rsidP="0038258E">
      <w:pPr>
        <w:adjustRightInd w:val="0"/>
        <w:snapToGrid w:val="0"/>
        <w:spacing w:after="0" w:line="240" w:lineRule="auto"/>
        <w:rPr>
          <w:sz w:val="22"/>
          <w:szCs w:val="22"/>
        </w:rPr>
      </w:pPr>
      <w:r w:rsidRPr="00260995">
        <w:rPr>
          <w:sz w:val="22"/>
          <w:szCs w:val="22"/>
        </w:rPr>
        <w:t xml:space="preserve">Moretti, E.  </w:t>
      </w:r>
      <w:r w:rsidR="002D737E" w:rsidRPr="00260995">
        <w:rPr>
          <w:sz w:val="22"/>
          <w:szCs w:val="22"/>
        </w:rPr>
        <w:t>(</w:t>
      </w:r>
      <w:r w:rsidRPr="00260995">
        <w:rPr>
          <w:sz w:val="22"/>
          <w:szCs w:val="22"/>
        </w:rPr>
        <w:t>2012</w:t>
      </w:r>
      <w:r w:rsidR="002D737E" w:rsidRPr="00260995">
        <w:rPr>
          <w:sz w:val="22"/>
          <w:szCs w:val="22"/>
        </w:rPr>
        <w:t>)</w:t>
      </w:r>
      <w:r w:rsidRPr="00260995">
        <w:rPr>
          <w:sz w:val="22"/>
          <w:szCs w:val="22"/>
        </w:rPr>
        <w:t xml:space="preserve">.  </w:t>
      </w:r>
      <w:r w:rsidRPr="00260995">
        <w:rPr>
          <w:i/>
          <w:sz w:val="22"/>
          <w:szCs w:val="22"/>
        </w:rPr>
        <w:t>The new geography of jobs</w:t>
      </w:r>
      <w:r w:rsidRPr="00260995">
        <w:rPr>
          <w:sz w:val="22"/>
          <w:szCs w:val="22"/>
        </w:rPr>
        <w:t xml:space="preserve">.  New York:  Mariner Books.  </w:t>
      </w:r>
    </w:p>
    <w:p w14:paraId="19F06E8B" w14:textId="77777777" w:rsidR="0038258E" w:rsidRPr="00260995" w:rsidRDefault="0038258E" w:rsidP="0038258E">
      <w:pPr>
        <w:pStyle w:val="Heading1"/>
        <w:spacing w:before="0" w:beforeAutospacing="0" w:after="0" w:afterAutospacing="0"/>
        <w:ind w:left="720" w:hanging="720"/>
        <w:rPr>
          <w:b w:val="0"/>
          <w:sz w:val="22"/>
          <w:szCs w:val="22"/>
        </w:rPr>
      </w:pPr>
      <w:r w:rsidRPr="00260995">
        <w:rPr>
          <w:b w:val="0"/>
          <w:sz w:val="22"/>
          <w:szCs w:val="22"/>
          <w:shd w:val="clear" w:color="auto" w:fill="FFFFFF"/>
        </w:rPr>
        <w:t xml:space="preserve">Mossberger, K. (2000) </w:t>
      </w:r>
      <w:r w:rsidRPr="00260995">
        <w:rPr>
          <w:b w:val="0"/>
          <w:i/>
          <w:sz w:val="22"/>
          <w:szCs w:val="22"/>
        </w:rPr>
        <w:t>The Politics of Ideas and the Spread of Enterprise Zones.</w:t>
      </w:r>
      <w:r w:rsidRPr="00260995">
        <w:rPr>
          <w:b w:val="0"/>
          <w:sz w:val="22"/>
          <w:szCs w:val="22"/>
        </w:rPr>
        <w:t xml:space="preserve"> Georgetown University Press.</w:t>
      </w:r>
    </w:p>
    <w:p w14:paraId="37CD7FEC" w14:textId="6E3C5CA1" w:rsidR="0038258E" w:rsidRPr="00260995" w:rsidRDefault="0038258E" w:rsidP="0038258E">
      <w:pPr>
        <w:spacing w:after="0" w:line="240" w:lineRule="auto"/>
        <w:ind w:left="720" w:hanging="720"/>
        <w:textAlignment w:val="baseline"/>
        <w:outlineLvl w:val="0"/>
        <w:rPr>
          <w:bCs/>
          <w:kern w:val="36"/>
          <w:sz w:val="22"/>
          <w:szCs w:val="22"/>
        </w:rPr>
      </w:pPr>
      <w:r w:rsidRPr="00260995">
        <w:rPr>
          <w:bCs/>
          <w:kern w:val="36"/>
          <w:sz w:val="22"/>
          <w:szCs w:val="22"/>
        </w:rPr>
        <w:t>Mossberger, K. and K. Hale</w:t>
      </w:r>
      <w:r w:rsidR="003E6B61" w:rsidRPr="00260995">
        <w:rPr>
          <w:bCs/>
          <w:kern w:val="36"/>
          <w:sz w:val="22"/>
          <w:szCs w:val="22"/>
        </w:rPr>
        <w:t xml:space="preserve"> (</w:t>
      </w:r>
      <w:r w:rsidRPr="00260995">
        <w:rPr>
          <w:bCs/>
          <w:kern w:val="36"/>
          <w:sz w:val="22"/>
          <w:szCs w:val="22"/>
        </w:rPr>
        <w:t>2002</w:t>
      </w:r>
      <w:r w:rsidR="003E6B61" w:rsidRPr="00260995">
        <w:rPr>
          <w:bCs/>
          <w:kern w:val="36"/>
          <w:sz w:val="22"/>
          <w:szCs w:val="22"/>
        </w:rPr>
        <w:t>)</w:t>
      </w:r>
      <w:r w:rsidRPr="00260995">
        <w:rPr>
          <w:bCs/>
          <w:kern w:val="36"/>
          <w:sz w:val="22"/>
          <w:szCs w:val="22"/>
        </w:rPr>
        <w:t xml:space="preserve"> Policy diffusion in intergovernmental programs: Information diffusion in the school-to-work network. </w:t>
      </w:r>
      <w:r w:rsidRPr="00260995">
        <w:rPr>
          <w:bCs/>
          <w:i/>
          <w:kern w:val="36"/>
          <w:sz w:val="22"/>
          <w:szCs w:val="22"/>
        </w:rPr>
        <w:t>The American Review of Public Administration</w:t>
      </w:r>
      <w:r w:rsidRPr="00260995">
        <w:rPr>
          <w:bCs/>
          <w:kern w:val="36"/>
          <w:sz w:val="22"/>
          <w:szCs w:val="22"/>
        </w:rPr>
        <w:t>.</w:t>
      </w:r>
    </w:p>
    <w:p w14:paraId="61B147C4" w14:textId="159BC803" w:rsidR="0038258E" w:rsidRPr="00260995" w:rsidRDefault="0038258E" w:rsidP="0038258E">
      <w:pPr>
        <w:spacing w:after="0" w:line="240" w:lineRule="auto"/>
        <w:ind w:left="720" w:hanging="720"/>
        <w:textAlignment w:val="baseline"/>
        <w:outlineLvl w:val="0"/>
        <w:rPr>
          <w:color w:val="222222"/>
          <w:sz w:val="22"/>
          <w:szCs w:val="22"/>
          <w:shd w:val="clear" w:color="auto" w:fill="FFFFFF"/>
        </w:rPr>
      </w:pPr>
      <w:r w:rsidRPr="00260995">
        <w:rPr>
          <w:color w:val="222222"/>
          <w:sz w:val="22"/>
          <w:szCs w:val="22"/>
          <w:shd w:val="clear" w:color="auto" w:fill="FFFFFF"/>
        </w:rPr>
        <w:t>Mossberger, K., Tolbert, C. J., &amp; Stansbury, M. (2003). </w:t>
      </w:r>
      <w:r w:rsidRPr="00260995">
        <w:rPr>
          <w:i/>
          <w:iCs/>
          <w:color w:val="222222"/>
          <w:sz w:val="22"/>
          <w:szCs w:val="22"/>
          <w:shd w:val="clear" w:color="auto" w:fill="FFFFFF"/>
        </w:rPr>
        <w:t>Virtual inequality: Beyond the digital divide</w:t>
      </w:r>
      <w:r w:rsidRPr="00260995">
        <w:rPr>
          <w:color w:val="222222"/>
          <w:sz w:val="22"/>
          <w:szCs w:val="22"/>
          <w:shd w:val="clear" w:color="auto" w:fill="FFFFFF"/>
        </w:rPr>
        <w:t>. Georgetown University Press.</w:t>
      </w:r>
    </w:p>
    <w:p w14:paraId="21BD3C18" w14:textId="6C6272CA" w:rsidR="0038258E" w:rsidRPr="00260995" w:rsidRDefault="0038258E" w:rsidP="0038258E">
      <w:pPr>
        <w:spacing w:after="0" w:line="240" w:lineRule="auto"/>
        <w:ind w:left="720" w:hanging="720"/>
        <w:textAlignment w:val="baseline"/>
        <w:outlineLvl w:val="0"/>
        <w:rPr>
          <w:sz w:val="22"/>
          <w:szCs w:val="22"/>
        </w:rPr>
      </w:pPr>
      <w:r w:rsidRPr="00260995">
        <w:rPr>
          <w:sz w:val="22"/>
          <w:szCs w:val="22"/>
        </w:rPr>
        <w:t xml:space="preserve">Mossberger, K., </w:t>
      </w:r>
      <w:r w:rsidRPr="00260995">
        <w:rPr>
          <w:bCs/>
          <w:sz w:val="22"/>
          <w:szCs w:val="22"/>
        </w:rPr>
        <w:t xml:space="preserve">C. Tolbert </w:t>
      </w:r>
      <w:r w:rsidRPr="00260995">
        <w:rPr>
          <w:sz w:val="22"/>
          <w:szCs w:val="22"/>
        </w:rPr>
        <w:t>and W. Franko</w:t>
      </w:r>
      <w:r w:rsidR="003E6B61" w:rsidRPr="00260995">
        <w:rPr>
          <w:sz w:val="22"/>
          <w:szCs w:val="22"/>
        </w:rPr>
        <w:t xml:space="preserve"> (</w:t>
      </w:r>
      <w:r w:rsidRPr="00260995">
        <w:rPr>
          <w:sz w:val="22"/>
          <w:szCs w:val="22"/>
        </w:rPr>
        <w:t>2012</w:t>
      </w:r>
      <w:r w:rsidR="003E6B61" w:rsidRPr="00260995">
        <w:rPr>
          <w:sz w:val="22"/>
          <w:szCs w:val="22"/>
        </w:rPr>
        <w:t>)</w:t>
      </w:r>
      <w:r w:rsidRPr="00260995">
        <w:rPr>
          <w:sz w:val="22"/>
          <w:szCs w:val="22"/>
        </w:rPr>
        <w:t xml:space="preserve"> </w:t>
      </w:r>
      <w:r w:rsidRPr="00260995">
        <w:rPr>
          <w:i/>
          <w:iCs/>
          <w:sz w:val="22"/>
          <w:szCs w:val="22"/>
        </w:rPr>
        <w:t>Digital cities: The Internet and the</w:t>
      </w:r>
      <w:r w:rsidRPr="00260995">
        <w:rPr>
          <w:i/>
          <w:sz w:val="22"/>
          <w:szCs w:val="22"/>
        </w:rPr>
        <w:t xml:space="preserve"> </w:t>
      </w:r>
      <w:r w:rsidRPr="00260995">
        <w:rPr>
          <w:i/>
          <w:iCs/>
          <w:sz w:val="22"/>
          <w:szCs w:val="22"/>
        </w:rPr>
        <w:t>geography of opportunity</w:t>
      </w:r>
      <w:r w:rsidRPr="00260995">
        <w:rPr>
          <w:sz w:val="22"/>
          <w:szCs w:val="22"/>
        </w:rPr>
        <w:t>. Oxford University Press.</w:t>
      </w:r>
    </w:p>
    <w:p w14:paraId="2949590F" w14:textId="7BCEEE3E" w:rsidR="00EA193B" w:rsidRPr="00260995" w:rsidRDefault="00EA193B" w:rsidP="00EA193B">
      <w:pPr>
        <w:spacing w:after="0" w:line="240" w:lineRule="auto"/>
        <w:rPr>
          <w:i/>
          <w:iCs/>
          <w:sz w:val="22"/>
          <w:szCs w:val="22"/>
        </w:rPr>
      </w:pPr>
      <w:r w:rsidRPr="00260995">
        <w:rPr>
          <w:sz w:val="22"/>
          <w:szCs w:val="22"/>
        </w:rPr>
        <w:t>Mossberger, K., C. Tolbert and S. LaCombe</w:t>
      </w:r>
      <w:r w:rsidR="003E6B61" w:rsidRPr="00260995">
        <w:rPr>
          <w:sz w:val="22"/>
          <w:szCs w:val="22"/>
        </w:rPr>
        <w:t xml:space="preserve"> (</w:t>
      </w:r>
      <w:r w:rsidRPr="00260995">
        <w:rPr>
          <w:sz w:val="22"/>
          <w:szCs w:val="22"/>
        </w:rPr>
        <w:t>2021</w:t>
      </w:r>
      <w:r w:rsidR="003E6B61" w:rsidRPr="00260995">
        <w:rPr>
          <w:sz w:val="22"/>
          <w:szCs w:val="22"/>
        </w:rPr>
        <w:t>)</w:t>
      </w:r>
      <w:r w:rsidRPr="00260995">
        <w:rPr>
          <w:sz w:val="22"/>
          <w:szCs w:val="22"/>
        </w:rPr>
        <w:t xml:space="preserve"> </w:t>
      </w:r>
      <w:r w:rsidRPr="00260995">
        <w:rPr>
          <w:i/>
          <w:sz w:val="22"/>
          <w:szCs w:val="22"/>
        </w:rPr>
        <w:t xml:space="preserve">Choosing the future: Technology and opportunity </w:t>
      </w:r>
      <w:r w:rsidRPr="00260995">
        <w:rPr>
          <w:i/>
          <w:sz w:val="22"/>
          <w:szCs w:val="22"/>
        </w:rPr>
        <w:tab/>
        <w:t>for communities</w:t>
      </w:r>
      <w:r w:rsidRPr="00260995">
        <w:rPr>
          <w:sz w:val="22"/>
          <w:szCs w:val="22"/>
        </w:rPr>
        <w:t>. Oxford University Press.</w:t>
      </w:r>
    </w:p>
    <w:p w14:paraId="73B72993" w14:textId="77777777" w:rsidR="0038258E" w:rsidRPr="00260995" w:rsidRDefault="0038258E" w:rsidP="0038258E">
      <w:pPr>
        <w:spacing w:after="0" w:line="240" w:lineRule="auto"/>
        <w:ind w:left="720" w:hanging="720"/>
        <w:rPr>
          <w:sz w:val="22"/>
          <w:szCs w:val="22"/>
        </w:rPr>
      </w:pPr>
      <w:r w:rsidRPr="00260995">
        <w:rPr>
          <w:sz w:val="22"/>
          <w:szCs w:val="22"/>
        </w:rPr>
        <w:t>National Telecommunications and Information Administration/ National Science Foundation</w:t>
      </w:r>
      <w:r w:rsidRPr="00260995">
        <w:rPr>
          <w:sz w:val="22"/>
          <w:szCs w:val="22"/>
          <w:shd w:val="clear" w:color="auto" w:fill="FFFFFF"/>
        </w:rPr>
        <w:t xml:space="preserve">  (2017) The National Broadband Research Agenda: Key Priorities For Broadband Research and Data. </w:t>
      </w:r>
      <w:hyperlink r:id="rId9" w:history="1">
        <w:r w:rsidRPr="00260995">
          <w:rPr>
            <w:rStyle w:val="Hyperlink"/>
            <w:sz w:val="22"/>
            <w:szCs w:val="22"/>
          </w:rPr>
          <w:t>https://www.ntia.doc.gov/report/2017/national-broadband-research-agenda-key-priorities-broadband-research-and-data</w:t>
        </w:r>
      </w:hyperlink>
      <w:r w:rsidRPr="00260995">
        <w:rPr>
          <w:sz w:val="22"/>
          <w:szCs w:val="22"/>
        </w:rPr>
        <w:t xml:space="preserve"> </w:t>
      </w:r>
    </w:p>
    <w:p w14:paraId="6A0C335C"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t>Nicholson-Crotty, S., &amp; Carley, S. (2018). Information exchange and policy adoption decisions in the context of US state energy policy. </w:t>
      </w:r>
      <w:r w:rsidRPr="00260995">
        <w:rPr>
          <w:i/>
          <w:iCs/>
          <w:sz w:val="22"/>
          <w:szCs w:val="22"/>
          <w:shd w:val="clear" w:color="auto" w:fill="FFFFFF"/>
        </w:rPr>
        <w:t>State Politics &amp; Policy Quarterly</w:t>
      </w:r>
      <w:r w:rsidRPr="00260995">
        <w:rPr>
          <w:sz w:val="22"/>
          <w:szCs w:val="22"/>
          <w:shd w:val="clear" w:color="auto" w:fill="FFFFFF"/>
        </w:rPr>
        <w:t>, </w:t>
      </w:r>
      <w:r w:rsidRPr="00260995">
        <w:rPr>
          <w:i/>
          <w:iCs/>
          <w:sz w:val="22"/>
          <w:szCs w:val="22"/>
          <w:shd w:val="clear" w:color="auto" w:fill="FFFFFF"/>
        </w:rPr>
        <w:t>18</w:t>
      </w:r>
      <w:r w:rsidRPr="00260995">
        <w:rPr>
          <w:sz w:val="22"/>
          <w:szCs w:val="22"/>
          <w:shd w:val="clear" w:color="auto" w:fill="FFFFFF"/>
        </w:rPr>
        <w:t>(2), 122-147.</w:t>
      </w:r>
    </w:p>
    <w:p w14:paraId="711B2EE7"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t>Norris, P.. (2001). Digital divide: Civic engagement, information poverty and the internet worldwide. Cambridge University Press.</w:t>
      </w:r>
    </w:p>
    <w:p w14:paraId="3E66D7B3"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t>Pacheco, J. (2012). The social contagion model: Exploring the role of public opinion on the diffusion of antismoking legislation across the American states. </w:t>
      </w:r>
      <w:r w:rsidRPr="00260995">
        <w:rPr>
          <w:i/>
          <w:iCs/>
          <w:sz w:val="22"/>
          <w:szCs w:val="22"/>
          <w:shd w:val="clear" w:color="auto" w:fill="FFFFFF"/>
        </w:rPr>
        <w:t>The Journal of Politics</w:t>
      </w:r>
      <w:r w:rsidRPr="00260995">
        <w:rPr>
          <w:sz w:val="22"/>
          <w:szCs w:val="22"/>
          <w:shd w:val="clear" w:color="auto" w:fill="FFFFFF"/>
        </w:rPr>
        <w:t>, </w:t>
      </w:r>
      <w:r w:rsidRPr="00260995">
        <w:rPr>
          <w:i/>
          <w:iCs/>
          <w:sz w:val="22"/>
          <w:szCs w:val="22"/>
          <w:shd w:val="clear" w:color="auto" w:fill="FFFFFF"/>
        </w:rPr>
        <w:t>74</w:t>
      </w:r>
      <w:r w:rsidRPr="00260995">
        <w:rPr>
          <w:sz w:val="22"/>
          <w:szCs w:val="22"/>
          <w:shd w:val="clear" w:color="auto" w:fill="FFFFFF"/>
        </w:rPr>
        <w:t>(1), 187-202.</w:t>
      </w:r>
    </w:p>
    <w:p w14:paraId="3256ED47" w14:textId="77777777" w:rsidR="0038258E" w:rsidRPr="00260995" w:rsidRDefault="0038258E" w:rsidP="0038258E">
      <w:pPr>
        <w:spacing w:after="0" w:line="240" w:lineRule="auto"/>
        <w:rPr>
          <w:color w:val="222222"/>
          <w:sz w:val="22"/>
          <w:szCs w:val="22"/>
          <w:shd w:val="clear" w:color="auto" w:fill="FFFFFF"/>
        </w:rPr>
      </w:pPr>
      <w:r w:rsidRPr="00260995">
        <w:rPr>
          <w:color w:val="222222"/>
          <w:sz w:val="22"/>
          <w:szCs w:val="22"/>
          <w:shd w:val="clear" w:color="auto" w:fill="FFFFFF"/>
        </w:rPr>
        <w:t xml:space="preserve">Prior, M. (2006). “The incumbent in the living room: The rise of television and the incumbency </w:t>
      </w:r>
    </w:p>
    <w:p w14:paraId="4BD97D3B" w14:textId="77777777" w:rsidR="0038258E" w:rsidRPr="00260995" w:rsidRDefault="0038258E" w:rsidP="0038258E">
      <w:pPr>
        <w:spacing w:after="0" w:line="240" w:lineRule="auto"/>
        <w:ind w:firstLine="720"/>
        <w:rPr>
          <w:color w:val="222222"/>
          <w:sz w:val="22"/>
          <w:szCs w:val="22"/>
          <w:shd w:val="clear" w:color="auto" w:fill="FFFFFF"/>
        </w:rPr>
      </w:pPr>
      <w:r w:rsidRPr="00260995">
        <w:rPr>
          <w:color w:val="222222"/>
          <w:sz w:val="22"/>
          <w:szCs w:val="22"/>
          <w:shd w:val="clear" w:color="auto" w:fill="FFFFFF"/>
        </w:rPr>
        <w:t>advantage in US House elections.” </w:t>
      </w:r>
      <w:r w:rsidRPr="00260995">
        <w:rPr>
          <w:i/>
          <w:iCs/>
          <w:color w:val="222222"/>
          <w:sz w:val="22"/>
          <w:szCs w:val="22"/>
          <w:shd w:val="clear" w:color="auto" w:fill="FFFFFF"/>
        </w:rPr>
        <w:t>The Journal of Politics</w:t>
      </w:r>
      <w:r w:rsidRPr="00260995">
        <w:rPr>
          <w:color w:val="222222"/>
          <w:sz w:val="22"/>
          <w:szCs w:val="22"/>
          <w:shd w:val="clear" w:color="auto" w:fill="FFFFFF"/>
        </w:rPr>
        <w:t>, </w:t>
      </w:r>
      <w:r w:rsidRPr="00260995">
        <w:rPr>
          <w:i/>
          <w:iCs/>
          <w:color w:val="222222"/>
          <w:sz w:val="22"/>
          <w:szCs w:val="22"/>
          <w:shd w:val="clear" w:color="auto" w:fill="FFFFFF"/>
        </w:rPr>
        <w:t>68</w:t>
      </w:r>
      <w:r w:rsidRPr="00260995">
        <w:rPr>
          <w:color w:val="222222"/>
          <w:sz w:val="22"/>
          <w:szCs w:val="22"/>
          <w:shd w:val="clear" w:color="auto" w:fill="FFFFFF"/>
        </w:rPr>
        <w:t>(3), 657-673.</w:t>
      </w:r>
    </w:p>
    <w:p w14:paraId="26DC049C"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lastRenderedPageBreak/>
        <w:t xml:space="preserve">Ryan, Camille (2018). “Computer and Internet Use in the United States: 2016” American Community Survey Reports. United States Census Bureau </w:t>
      </w:r>
    </w:p>
    <w:p w14:paraId="61A99B7A"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t>Shipan, C. R., &amp; Volden, C. (2006). Bottom‐up Federalism: the diffusion of antismoking policies from US cities to states. </w:t>
      </w:r>
      <w:r w:rsidRPr="00260995">
        <w:rPr>
          <w:i/>
          <w:iCs/>
          <w:sz w:val="22"/>
          <w:szCs w:val="22"/>
          <w:shd w:val="clear" w:color="auto" w:fill="FFFFFF"/>
        </w:rPr>
        <w:t>American journal of political science</w:t>
      </w:r>
      <w:r w:rsidRPr="00260995">
        <w:rPr>
          <w:sz w:val="22"/>
          <w:szCs w:val="22"/>
          <w:shd w:val="clear" w:color="auto" w:fill="FFFFFF"/>
        </w:rPr>
        <w:t>, </w:t>
      </w:r>
      <w:r w:rsidRPr="00260995">
        <w:rPr>
          <w:i/>
          <w:iCs/>
          <w:sz w:val="22"/>
          <w:szCs w:val="22"/>
          <w:shd w:val="clear" w:color="auto" w:fill="FFFFFF"/>
        </w:rPr>
        <w:t>50</w:t>
      </w:r>
      <w:r w:rsidRPr="00260995">
        <w:rPr>
          <w:sz w:val="22"/>
          <w:szCs w:val="22"/>
          <w:shd w:val="clear" w:color="auto" w:fill="FFFFFF"/>
        </w:rPr>
        <w:t>(4), 825-843.</w:t>
      </w:r>
    </w:p>
    <w:p w14:paraId="42BE8A1C"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t>Shipan, C. R., &amp; Volden, C. (2008). The mechanisms of policy diffusion. </w:t>
      </w:r>
      <w:r w:rsidRPr="00260995">
        <w:rPr>
          <w:i/>
          <w:iCs/>
          <w:sz w:val="22"/>
          <w:szCs w:val="22"/>
          <w:shd w:val="clear" w:color="auto" w:fill="FFFFFF"/>
        </w:rPr>
        <w:t>American journal of political science</w:t>
      </w:r>
      <w:r w:rsidRPr="00260995">
        <w:rPr>
          <w:sz w:val="22"/>
          <w:szCs w:val="22"/>
          <w:shd w:val="clear" w:color="auto" w:fill="FFFFFF"/>
        </w:rPr>
        <w:t>, </w:t>
      </w:r>
      <w:r w:rsidRPr="00260995">
        <w:rPr>
          <w:i/>
          <w:iCs/>
          <w:sz w:val="22"/>
          <w:szCs w:val="22"/>
          <w:shd w:val="clear" w:color="auto" w:fill="FFFFFF"/>
        </w:rPr>
        <w:t>52</w:t>
      </w:r>
      <w:r w:rsidRPr="00260995">
        <w:rPr>
          <w:sz w:val="22"/>
          <w:szCs w:val="22"/>
          <w:shd w:val="clear" w:color="auto" w:fill="FFFFFF"/>
        </w:rPr>
        <w:t>(4), 840-857.</w:t>
      </w:r>
    </w:p>
    <w:p w14:paraId="22C53881" w14:textId="77777777" w:rsidR="0038258E" w:rsidRPr="00260995" w:rsidRDefault="0038258E" w:rsidP="0038258E">
      <w:pPr>
        <w:spacing w:after="0" w:line="240" w:lineRule="auto"/>
        <w:ind w:left="720" w:hanging="720"/>
        <w:rPr>
          <w:color w:val="222222"/>
          <w:sz w:val="22"/>
          <w:szCs w:val="22"/>
          <w:shd w:val="clear" w:color="auto" w:fill="FFFFFF"/>
        </w:rPr>
      </w:pPr>
      <w:r w:rsidRPr="00260995">
        <w:rPr>
          <w:color w:val="222222"/>
          <w:sz w:val="22"/>
          <w:szCs w:val="22"/>
          <w:shd w:val="clear" w:color="auto" w:fill="FFFFFF"/>
        </w:rPr>
        <w:t>Shirky, Clay. </w:t>
      </w:r>
      <w:r w:rsidRPr="00260995">
        <w:rPr>
          <w:i/>
          <w:iCs/>
          <w:color w:val="222222"/>
          <w:sz w:val="22"/>
          <w:szCs w:val="22"/>
          <w:shd w:val="clear" w:color="auto" w:fill="FFFFFF"/>
        </w:rPr>
        <w:t>Here comes everybody: The power of organizing without organizations</w:t>
      </w:r>
      <w:r w:rsidRPr="00260995">
        <w:rPr>
          <w:color w:val="222222"/>
          <w:sz w:val="22"/>
          <w:szCs w:val="22"/>
          <w:shd w:val="clear" w:color="auto" w:fill="FFFFFF"/>
        </w:rPr>
        <w:t>. Penguin, 2008.</w:t>
      </w:r>
    </w:p>
    <w:p w14:paraId="031568A9" w14:textId="77777777" w:rsidR="0038258E" w:rsidRPr="00260995" w:rsidRDefault="0038258E" w:rsidP="0038258E">
      <w:pPr>
        <w:spacing w:after="0" w:line="240" w:lineRule="auto"/>
        <w:ind w:left="720" w:hanging="720"/>
        <w:rPr>
          <w:sz w:val="22"/>
          <w:szCs w:val="22"/>
          <w:shd w:val="clear" w:color="auto" w:fill="FFFFFF"/>
        </w:rPr>
      </w:pPr>
      <w:r w:rsidRPr="00260995">
        <w:rPr>
          <w:color w:val="333333"/>
          <w:sz w:val="22"/>
          <w:szCs w:val="22"/>
          <w:shd w:val="clear" w:color="auto" w:fill="FFFFFF"/>
        </w:rPr>
        <w:t>Schlozman, K., Verba, S., &amp; Brady, H. (2010). Weapon of the Strong? Participatory Inequality and the Internet. </w:t>
      </w:r>
      <w:r w:rsidRPr="00260995">
        <w:rPr>
          <w:i/>
          <w:iCs/>
          <w:color w:val="333333"/>
          <w:sz w:val="22"/>
          <w:szCs w:val="22"/>
          <w:shd w:val="clear" w:color="auto" w:fill="FFFFFF"/>
        </w:rPr>
        <w:t>Perspectives on Politics,</w:t>
      </w:r>
      <w:r w:rsidRPr="00260995">
        <w:rPr>
          <w:color w:val="333333"/>
          <w:sz w:val="22"/>
          <w:szCs w:val="22"/>
          <w:shd w:val="clear" w:color="auto" w:fill="FFFFFF"/>
        </w:rPr>
        <w:t> </w:t>
      </w:r>
      <w:r w:rsidRPr="00260995">
        <w:rPr>
          <w:i/>
          <w:iCs/>
          <w:color w:val="333333"/>
          <w:sz w:val="22"/>
          <w:szCs w:val="22"/>
          <w:shd w:val="clear" w:color="auto" w:fill="FFFFFF"/>
        </w:rPr>
        <w:t>8</w:t>
      </w:r>
      <w:r w:rsidRPr="00260995">
        <w:rPr>
          <w:color w:val="333333"/>
          <w:sz w:val="22"/>
          <w:szCs w:val="22"/>
          <w:shd w:val="clear" w:color="auto" w:fill="FFFFFF"/>
        </w:rPr>
        <w:t>(2), 487-509. Retrieved July 27, 2020, from www.jstor.org/stable/25698614</w:t>
      </w:r>
    </w:p>
    <w:p w14:paraId="675CCCEC" w14:textId="77777777" w:rsidR="0038258E" w:rsidRPr="00260995" w:rsidRDefault="0038258E" w:rsidP="0038258E">
      <w:pPr>
        <w:spacing w:after="0" w:line="240" w:lineRule="auto"/>
        <w:ind w:left="720" w:hanging="720"/>
        <w:rPr>
          <w:sz w:val="22"/>
          <w:szCs w:val="22"/>
        </w:rPr>
      </w:pPr>
      <w:r w:rsidRPr="00260995">
        <w:rPr>
          <w:sz w:val="22"/>
          <w:szCs w:val="22"/>
        </w:rPr>
        <w:t xml:space="preserve">Silver, Nate. </w:t>
      </w:r>
      <w:r w:rsidRPr="00260995">
        <w:rPr>
          <w:i/>
          <w:sz w:val="22"/>
          <w:szCs w:val="22"/>
        </w:rPr>
        <w:t>The signal and the noise: The art and science of prediction</w:t>
      </w:r>
      <w:r w:rsidRPr="00260995">
        <w:rPr>
          <w:sz w:val="22"/>
          <w:szCs w:val="22"/>
        </w:rPr>
        <w:t>. Penguin.</w:t>
      </w:r>
    </w:p>
    <w:p w14:paraId="1FD5C858" w14:textId="77777777" w:rsidR="0038258E" w:rsidRPr="00260995" w:rsidRDefault="0038258E" w:rsidP="0038258E">
      <w:pPr>
        <w:spacing w:after="0" w:line="240" w:lineRule="auto"/>
        <w:rPr>
          <w:sz w:val="22"/>
          <w:szCs w:val="22"/>
        </w:rPr>
      </w:pPr>
      <w:r w:rsidRPr="00260995">
        <w:rPr>
          <w:sz w:val="22"/>
          <w:szCs w:val="22"/>
        </w:rPr>
        <w:t xml:space="preserve">Sunstein, C. R. (2007) </w:t>
      </w:r>
      <w:r w:rsidRPr="00260995">
        <w:rPr>
          <w:i/>
          <w:iCs/>
          <w:sz w:val="22"/>
          <w:szCs w:val="22"/>
        </w:rPr>
        <w:t>Republic.com 2.0,</w:t>
      </w:r>
      <w:r w:rsidRPr="00260995">
        <w:rPr>
          <w:sz w:val="22"/>
          <w:szCs w:val="22"/>
        </w:rPr>
        <w:t xml:space="preserve"> Princeton University Press</w:t>
      </w:r>
    </w:p>
    <w:p w14:paraId="56A5105E" w14:textId="77777777" w:rsidR="0038258E" w:rsidRPr="00260995" w:rsidRDefault="0038258E" w:rsidP="0038258E">
      <w:pPr>
        <w:spacing w:after="0" w:line="240" w:lineRule="auto"/>
        <w:rPr>
          <w:color w:val="222222"/>
          <w:sz w:val="22"/>
          <w:szCs w:val="22"/>
          <w:shd w:val="clear" w:color="auto" w:fill="FFFFFF"/>
        </w:rPr>
      </w:pPr>
      <w:r w:rsidRPr="00260995">
        <w:rPr>
          <w:color w:val="222222"/>
          <w:sz w:val="22"/>
          <w:szCs w:val="22"/>
          <w:shd w:val="clear" w:color="auto" w:fill="FFFFFF"/>
        </w:rPr>
        <w:t xml:space="preserve">Tomer, A, Kneebone, E, &amp; Shivaram Ranjitha (2017). “Signs of Digital Distress: Mapping </w:t>
      </w:r>
    </w:p>
    <w:p w14:paraId="3BCB19E9" w14:textId="110BA8F5" w:rsidR="00C05A21" w:rsidRDefault="0038258E" w:rsidP="00C05A21">
      <w:pPr>
        <w:spacing w:after="0" w:line="240" w:lineRule="auto"/>
        <w:ind w:left="720"/>
        <w:rPr>
          <w:i/>
          <w:iCs/>
          <w:color w:val="222222"/>
          <w:sz w:val="22"/>
          <w:szCs w:val="22"/>
          <w:shd w:val="clear" w:color="auto" w:fill="FFFFFF"/>
        </w:rPr>
      </w:pPr>
      <w:r w:rsidRPr="00260995">
        <w:rPr>
          <w:color w:val="222222"/>
          <w:sz w:val="22"/>
          <w:szCs w:val="22"/>
          <w:shd w:val="clear" w:color="auto" w:fill="FFFFFF"/>
        </w:rPr>
        <w:t xml:space="preserve">Broadband Availability and Subscription in American Neighborhoods” </w:t>
      </w:r>
      <w:r w:rsidRPr="00260995">
        <w:rPr>
          <w:i/>
          <w:iCs/>
          <w:color w:val="222222"/>
          <w:sz w:val="22"/>
          <w:szCs w:val="22"/>
          <w:shd w:val="clear" w:color="auto" w:fill="FFFFFF"/>
        </w:rPr>
        <w:t>The Bookings Institute</w:t>
      </w:r>
    </w:p>
    <w:p w14:paraId="767BDBA6" w14:textId="77777777" w:rsidR="002679FA" w:rsidRDefault="002679FA" w:rsidP="002679FA">
      <w:pPr>
        <w:spacing w:after="0" w:line="240" w:lineRule="auto"/>
        <w:rPr>
          <w:i/>
          <w:iCs/>
          <w:color w:val="222222"/>
          <w:sz w:val="22"/>
          <w:szCs w:val="22"/>
          <w:shd w:val="clear" w:color="auto" w:fill="FFFFFF"/>
        </w:rPr>
      </w:pPr>
      <w:r w:rsidRPr="002679FA">
        <w:rPr>
          <w:color w:val="222222"/>
          <w:sz w:val="22"/>
          <w:szCs w:val="22"/>
          <w:shd w:val="clear" w:color="auto" w:fill="FFFFFF"/>
        </w:rPr>
        <w:t>Trussler, M. J. (2019). </w:t>
      </w:r>
      <w:r w:rsidRPr="002679FA">
        <w:rPr>
          <w:i/>
          <w:iCs/>
          <w:color w:val="222222"/>
          <w:sz w:val="22"/>
          <w:szCs w:val="22"/>
          <w:shd w:val="clear" w:color="auto" w:fill="FFFFFF"/>
        </w:rPr>
        <w:t xml:space="preserve">The Impact of High Information Environments on Representation in the US House </w:t>
      </w:r>
    </w:p>
    <w:p w14:paraId="075D71E2" w14:textId="64AA5B42" w:rsidR="002679FA" w:rsidRPr="002679FA" w:rsidRDefault="002679FA" w:rsidP="002679FA">
      <w:pPr>
        <w:spacing w:after="0" w:line="240" w:lineRule="auto"/>
        <w:ind w:firstLine="720"/>
        <w:rPr>
          <w:i/>
          <w:iCs/>
          <w:color w:val="222222"/>
          <w:sz w:val="22"/>
          <w:szCs w:val="22"/>
          <w:shd w:val="clear" w:color="auto" w:fill="FFFFFF"/>
        </w:rPr>
      </w:pPr>
      <w:r w:rsidRPr="002679FA">
        <w:rPr>
          <w:i/>
          <w:iCs/>
          <w:color w:val="222222"/>
          <w:sz w:val="22"/>
          <w:szCs w:val="22"/>
          <w:shd w:val="clear" w:color="auto" w:fill="FFFFFF"/>
        </w:rPr>
        <w:t>of Representatives</w:t>
      </w:r>
      <w:r w:rsidRPr="002679FA">
        <w:rPr>
          <w:color w:val="222222"/>
          <w:sz w:val="22"/>
          <w:szCs w:val="22"/>
          <w:shd w:val="clear" w:color="auto" w:fill="FFFFFF"/>
        </w:rPr>
        <w:t> (Doctoral dissertation, Vanderbilt University).</w:t>
      </w:r>
    </w:p>
    <w:p w14:paraId="4727C23A" w14:textId="1D11D6B2" w:rsidR="00C05A21" w:rsidRDefault="00C05A21" w:rsidP="00C05A21">
      <w:pPr>
        <w:spacing w:after="0" w:line="240" w:lineRule="auto"/>
        <w:rPr>
          <w:color w:val="112E51"/>
          <w:sz w:val="22"/>
          <w:szCs w:val="22"/>
        </w:rPr>
      </w:pPr>
      <w:r w:rsidRPr="00C05A21">
        <w:rPr>
          <w:color w:val="333333"/>
          <w:sz w:val="22"/>
          <w:szCs w:val="22"/>
          <w:shd w:val="clear" w:color="auto" w:fill="FFFFFF"/>
        </w:rPr>
        <w:t xml:space="preserve">U.S. Census Bureau. (2020). </w:t>
      </w:r>
      <w:r w:rsidRPr="00C05A21">
        <w:rPr>
          <w:color w:val="112E51"/>
          <w:sz w:val="22"/>
          <w:szCs w:val="22"/>
        </w:rPr>
        <w:t>Percentage of Households With Subscription to Any Broadband Service</w:t>
      </w:r>
      <w:r w:rsidR="00B86784">
        <w:rPr>
          <w:color w:val="112E51"/>
          <w:sz w:val="22"/>
          <w:szCs w:val="22"/>
        </w:rPr>
        <w:t>.</w:t>
      </w:r>
    </w:p>
    <w:p w14:paraId="4EFDD060" w14:textId="506627BB" w:rsidR="00C05A21" w:rsidRPr="00C05A21" w:rsidRDefault="00C05A21" w:rsidP="00C05A21">
      <w:pPr>
        <w:spacing w:after="0" w:line="240" w:lineRule="auto"/>
        <w:ind w:firstLine="720"/>
        <w:rPr>
          <w:rStyle w:val="Emphasis"/>
          <w:i w:val="0"/>
          <w:iCs w:val="0"/>
          <w:color w:val="112E51"/>
          <w:sz w:val="22"/>
          <w:szCs w:val="22"/>
        </w:rPr>
      </w:pPr>
      <w:r w:rsidRPr="00C05A21">
        <w:rPr>
          <w:rStyle w:val="Emphasis"/>
          <w:color w:val="333333"/>
          <w:sz w:val="22"/>
          <w:szCs w:val="22"/>
          <w:shd w:val="clear" w:color="auto" w:fill="FFFFFF"/>
        </w:rPr>
        <w:t xml:space="preserve">American Community Survey </w:t>
      </w:r>
    </w:p>
    <w:p w14:paraId="49BC491D" w14:textId="2BB17FFC" w:rsidR="0038258E" w:rsidRPr="00260995" w:rsidRDefault="0038258E" w:rsidP="0038258E">
      <w:pPr>
        <w:spacing w:after="0" w:line="240" w:lineRule="auto"/>
        <w:ind w:left="720" w:hanging="720"/>
        <w:rPr>
          <w:i/>
          <w:sz w:val="22"/>
          <w:szCs w:val="22"/>
        </w:rPr>
      </w:pPr>
      <w:r w:rsidRPr="00260995">
        <w:rPr>
          <w:sz w:val="22"/>
          <w:szCs w:val="22"/>
        </w:rPr>
        <w:t xml:space="preserve">Walker, J. L. (1969). The diffusion of innovations among the American states. </w:t>
      </w:r>
      <w:r w:rsidRPr="00260995">
        <w:rPr>
          <w:i/>
          <w:sz w:val="22"/>
          <w:szCs w:val="22"/>
        </w:rPr>
        <w:t xml:space="preserve">American </w:t>
      </w:r>
    </w:p>
    <w:p w14:paraId="574DBD5E" w14:textId="77777777" w:rsidR="0038258E" w:rsidRPr="00260995" w:rsidRDefault="0038258E" w:rsidP="0038258E">
      <w:pPr>
        <w:spacing w:after="0" w:line="240" w:lineRule="auto"/>
        <w:ind w:left="720" w:hanging="720"/>
        <w:rPr>
          <w:sz w:val="22"/>
          <w:szCs w:val="22"/>
        </w:rPr>
      </w:pPr>
      <w:r w:rsidRPr="00260995">
        <w:rPr>
          <w:i/>
          <w:sz w:val="22"/>
          <w:szCs w:val="22"/>
        </w:rPr>
        <w:tab/>
        <w:t>Political Science Review</w:t>
      </w:r>
      <w:r w:rsidRPr="00260995">
        <w:rPr>
          <w:sz w:val="22"/>
          <w:szCs w:val="22"/>
        </w:rPr>
        <w:t xml:space="preserve"> 63 (3): 880–99.</w:t>
      </w:r>
    </w:p>
    <w:p w14:paraId="5C66A533" w14:textId="77777777" w:rsidR="0038258E" w:rsidRPr="00260995" w:rsidRDefault="0038258E" w:rsidP="0038258E">
      <w:pPr>
        <w:spacing w:after="0" w:line="240" w:lineRule="auto"/>
        <w:ind w:left="720" w:hanging="720"/>
        <w:rPr>
          <w:sz w:val="22"/>
          <w:szCs w:val="22"/>
          <w:shd w:val="clear" w:color="auto" w:fill="FFFFFF"/>
        </w:rPr>
      </w:pPr>
      <w:r w:rsidRPr="00260995">
        <w:rPr>
          <w:sz w:val="22"/>
          <w:szCs w:val="22"/>
          <w:shd w:val="clear" w:color="auto" w:fill="FFFFFF"/>
        </w:rPr>
        <w:t>West, D. M. (2004). E‐government and the transformation of service delivery and citizen attitudes. </w:t>
      </w:r>
      <w:r w:rsidRPr="00260995">
        <w:rPr>
          <w:i/>
          <w:iCs/>
          <w:sz w:val="22"/>
          <w:szCs w:val="22"/>
          <w:shd w:val="clear" w:color="auto" w:fill="FFFFFF"/>
        </w:rPr>
        <w:t>Public administration review</w:t>
      </w:r>
      <w:r w:rsidRPr="00260995">
        <w:rPr>
          <w:sz w:val="22"/>
          <w:szCs w:val="22"/>
          <w:shd w:val="clear" w:color="auto" w:fill="FFFFFF"/>
        </w:rPr>
        <w:t>, </w:t>
      </w:r>
      <w:r w:rsidRPr="00260995">
        <w:rPr>
          <w:i/>
          <w:iCs/>
          <w:sz w:val="22"/>
          <w:szCs w:val="22"/>
          <w:shd w:val="clear" w:color="auto" w:fill="FFFFFF"/>
        </w:rPr>
        <w:t>64</w:t>
      </w:r>
      <w:r w:rsidRPr="00260995">
        <w:rPr>
          <w:sz w:val="22"/>
          <w:szCs w:val="22"/>
          <w:shd w:val="clear" w:color="auto" w:fill="FFFFFF"/>
        </w:rPr>
        <w:t>(1), 15-27.</w:t>
      </w:r>
    </w:p>
    <w:p w14:paraId="6DEDE0B2" w14:textId="77777777" w:rsidR="0038258E" w:rsidRPr="00260995" w:rsidRDefault="0038258E" w:rsidP="0038258E">
      <w:pPr>
        <w:spacing w:after="0" w:line="240" w:lineRule="auto"/>
        <w:rPr>
          <w:sz w:val="22"/>
          <w:szCs w:val="22"/>
        </w:rPr>
      </w:pPr>
      <w:r w:rsidRPr="00260995">
        <w:rPr>
          <w:sz w:val="22"/>
          <w:szCs w:val="22"/>
        </w:rPr>
        <w:t xml:space="preserve">Zahariadis, Nikolaos.  2016  Setting the Agenda on Agenda-Setting:  Definitions, Concepts and </w:t>
      </w:r>
    </w:p>
    <w:p w14:paraId="59D1F197" w14:textId="77777777" w:rsidR="0038258E" w:rsidRPr="00260995" w:rsidRDefault="0038258E" w:rsidP="00214793">
      <w:pPr>
        <w:spacing w:after="0" w:line="240" w:lineRule="auto"/>
        <w:ind w:left="720"/>
        <w:rPr>
          <w:sz w:val="22"/>
          <w:szCs w:val="22"/>
        </w:rPr>
      </w:pPr>
      <w:r w:rsidRPr="00260995">
        <w:rPr>
          <w:sz w:val="22"/>
          <w:szCs w:val="22"/>
        </w:rPr>
        <w:t xml:space="preserve">Controversies.  In Zahariadis, Nikolaos, ed., </w:t>
      </w:r>
      <w:r w:rsidRPr="00260995">
        <w:rPr>
          <w:i/>
          <w:iCs/>
          <w:sz w:val="22"/>
          <w:szCs w:val="22"/>
        </w:rPr>
        <w:t>Handbook of Public Policy Agenda Setting</w:t>
      </w:r>
      <w:r w:rsidRPr="00260995">
        <w:rPr>
          <w:sz w:val="22"/>
          <w:szCs w:val="22"/>
        </w:rPr>
        <w:t>.  Cheltenham, UK:  Edward Elgar, 1-24.</w:t>
      </w:r>
    </w:p>
    <w:p w14:paraId="662E2178" w14:textId="77777777" w:rsidR="0038258E" w:rsidRPr="00DA541C" w:rsidRDefault="0038258E" w:rsidP="0038258E">
      <w:pPr>
        <w:spacing w:after="0" w:line="240" w:lineRule="auto"/>
      </w:pPr>
    </w:p>
    <w:p w14:paraId="12C6DCDA" w14:textId="77777777" w:rsidR="0038258E" w:rsidRPr="00DA541C" w:rsidRDefault="0038258E" w:rsidP="0038258E">
      <w:pPr>
        <w:spacing w:after="0"/>
        <w:rPr>
          <w:b/>
        </w:rPr>
      </w:pPr>
      <w:r w:rsidRPr="00DA541C">
        <w:rPr>
          <w:b/>
        </w:rPr>
        <w:br w:type="page"/>
      </w:r>
    </w:p>
    <w:p w14:paraId="72134C04" w14:textId="77777777" w:rsidR="0038258E" w:rsidRPr="00DA541C" w:rsidRDefault="0038258E" w:rsidP="0038258E">
      <w:pPr>
        <w:spacing w:after="0" w:line="240" w:lineRule="auto"/>
        <w:rPr>
          <w:b/>
        </w:rPr>
      </w:pPr>
      <w:r w:rsidRPr="00DA541C">
        <w:rPr>
          <w:b/>
        </w:rPr>
        <w:lastRenderedPageBreak/>
        <w:t>Figures</w:t>
      </w:r>
    </w:p>
    <w:p w14:paraId="695837D3" w14:textId="77777777" w:rsidR="0038258E" w:rsidRPr="003815D3" w:rsidRDefault="0038258E" w:rsidP="0038258E">
      <w:pPr>
        <w:spacing w:after="0" w:line="240" w:lineRule="auto"/>
        <w:jc w:val="center"/>
        <w:rPr>
          <w:rFonts w:eastAsia="Times New Roman" w:cs="TimesNewRomanPSMT"/>
        </w:rPr>
      </w:pPr>
      <w:r w:rsidRPr="003815D3">
        <w:t xml:space="preserve">Figure </w:t>
      </w:r>
      <w:r>
        <w:t>1</w:t>
      </w:r>
      <w:r w:rsidRPr="003815D3">
        <w:t>: Histogram of Broadband Subscription Rates in the States (2000, 2005, 2010, and 2015)</w:t>
      </w:r>
      <w:r>
        <w:rPr>
          <w:rStyle w:val="FootnoteReference"/>
        </w:rPr>
        <w:footnoteReference w:id="12"/>
      </w:r>
    </w:p>
    <w:p w14:paraId="78629BF3" w14:textId="77777777" w:rsidR="0038258E" w:rsidRPr="00DA541C" w:rsidRDefault="0038258E" w:rsidP="0038258E">
      <w:pPr>
        <w:spacing w:after="0" w:line="240" w:lineRule="auto"/>
        <w:jc w:val="center"/>
        <w:rPr>
          <w:b/>
        </w:rPr>
      </w:pPr>
      <w:r>
        <w:rPr>
          <w:b/>
          <w:noProof/>
        </w:rPr>
        <w:drawing>
          <wp:inline distT="0" distB="0" distL="0" distR="0" wp14:anchorId="1207445A" wp14:editId="3BD5DF00">
            <wp:extent cx="4581525" cy="3324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oadband.png"/>
                    <pic:cNvPicPr/>
                  </pic:nvPicPr>
                  <pic:blipFill>
                    <a:blip r:embed="rId10">
                      <a:grayscl/>
                      <a:extLst>
                        <a:ext uri="{28A0092B-C50C-407E-A947-70E740481C1C}">
                          <a14:useLocalDpi xmlns:a14="http://schemas.microsoft.com/office/drawing/2010/main" val="0"/>
                        </a:ext>
                      </a:extLst>
                    </a:blip>
                    <a:stretch>
                      <a:fillRect/>
                    </a:stretch>
                  </pic:blipFill>
                  <pic:spPr>
                    <a:xfrm>
                      <a:off x="0" y="0"/>
                      <a:ext cx="4581525" cy="3324225"/>
                    </a:xfrm>
                    <a:prstGeom prst="rect">
                      <a:avLst/>
                    </a:prstGeom>
                  </pic:spPr>
                </pic:pic>
              </a:graphicData>
            </a:graphic>
          </wp:inline>
        </w:drawing>
      </w:r>
    </w:p>
    <w:p w14:paraId="7A05B49B" w14:textId="77777777" w:rsidR="0038258E" w:rsidRPr="00DA541C" w:rsidRDefault="0038258E" w:rsidP="0038258E">
      <w:pPr>
        <w:spacing w:after="0"/>
        <w:rPr>
          <w:b/>
        </w:rPr>
      </w:pPr>
      <w:r w:rsidRPr="00DA541C">
        <w:rPr>
          <w:b/>
        </w:rPr>
        <w:br w:type="page"/>
      </w:r>
    </w:p>
    <w:p w14:paraId="47EE9DE9" w14:textId="77777777" w:rsidR="0038258E" w:rsidRPr="006C2CD0" w:rsidRDefault="0038258E" w:rsidP="0038258E">
      <w:pPr>
        <w:spacing w:after="0" w:line="240" w:lineRule="auto"/>
        <w:jc w:val="center"/>
      </w:pPr>
      <w:r w:rsidRPr="006C2CD0">
        <w:rPr>
          <w:color w:val="000000"/>
          <w:shd w:val="clear" w:color="auto" w:fill="FFFFFF"/>
        </w:rPr>
        <w:lastRenderedPageBreak/>
        <w:t xml:space="preserve">Table </w:t>
      </w:r>
      <w:r>
        <w:rPr>
          <w:color w:val="000000"/>
          <w:shd w:val="clear" w:color="auto" w:fill="FFFFFF"/>
        </w:rPr>
        <w:t>1</w:t>
      </w:r>
      <w:r w:rsidRPr="006C2CD0">
        <w:rPr>
          <w:color w:val="000000"/>
          <w:shd w:val="clear" w:color="auto" w:fill="FFFFFF"/>
        </w:rPr>
        <w:t>: Pooled Event History Analysis of State Policy Innovations (2000-2016)</w:t>
      </w:r>
      <w:r w:rsidRPr="006C2CD0">
        <w:t>*</w:t>
      </w:r>
    </w:p>
    <w:tbl>
      <w:tblPr>
        <w:tblW w:w="0" w:type="auto"/>
        <w:jc w:val="center"/>
        <w:tblLayout w:type="fixed"/>
        <w:tblLook w:val="0000" w:firstRow="0" w:lastRow="0" w:firstColumn="0" w:lastColumn="0" w:noHBand="0" w:noVBand="0"/>
      </w:tblPr>
      <w:tblGrid>
        <w:gridCol w:w="3816"/>
        <w:gridCol w:w="1656"/>
        <w:gridCol w:w="1656"/>
        <w:gridCol w:w="1656"/>
      </w:tblGrid>
      <w:tr w:rsidR="0038258E" w14:paraId="7525A866" w14:textId="77777777" w:rsidTr="000D7586">
        <w:trPr>
          <w:jc w:val="center"/>
        </w:trPr>
        <w:tc>
          <w:tcPr>
            <w:tcW w:w="3816" w:type="dxa"/>
            <w:tcBorders>
              <w:top w:val="single" w:sz="4" w:space="0" w:color="auto"/>
              <w:left w:val="nil"/>
              <w:bottom w:val="nil"/>
              <w:right w:val="nil"/>
            </w:tcBorders>
          </w:tcPr>
          <w:p w14:paraId="282CDA5F" w14:textId="77777777" w:rsidR="0038258E" w:rsidRPr="006C2CD0" w:rsidRDefault="0038258E" w:rsidP="000D7586">
            <w:pPr>
              <w:widowControl w:val="0"/>
              <w:autoSpaceDE w:val="0"/>
              <w:autoSpaceDN w:val="0"/>
              <w:adjustRightInd w:val="0"/>
              <w:spacing w:after="0" w:line="240" w:lineRule="auto"/>
              <w:rPr>
                <w:sz w:val="22"/>
                <w:szCs w:val="22"/>
              </w:rPr>
            </w:pPr>
          </w:p>
        </w:tc>
        <w:tc>
          <w:tcPr>
            <w:tcW w:w="1656" w:type="dxa"/>
            <w:tcBorders>
              <w:top w:val="single" w:sz="4" w:space="0" w:color="auto"/>
              <w:left w:val="nil"/>
              <w:bottom w:val="nil"/>
              <w:right w:val="nil"/>
            </w:tcBorders>
          </w:tcPr>
          <w:p w14:paraId="5BC24979" w14:textId="77777777" w:rsidR="0038258E" w:rsidRPr="006C2CD0" w:rsidRDefault="0038258E" w:rsidP="000D7586">
            <w:pPr>
              <w:widowControl w:val="0"/>
              <w:autoSpaceDE w:val="0"/>
              <w:autoSpaceDN w:val="0"/>
              <w:adjustRightInd w:val="0"/>
              <w:spacing w:after="0" w:line="240" w:lineRule="auto"/>
              <w:jc w:val="center"/>
              <w:rPr>
                <w:sz w:val="22"/>
                <w:szCs w:val="22"/>
              </w:rPr>
            </w:pPr>
            <w:r w:rsidRPr="006C2CD0">
              <w:rPr>
                <w:sz w:val="22"/>
                <w:szCs w:val="22"/>
              </w:rPr>
              <w:t>(1)</w:t>
            </w:r>
          </w:p>
        </w:tc>
        <w:tc>
          <w:tcPr>
            <w:tcW w:w="1656" w:type="dxa"/>
            <w:tcBorders>
              <w:top w:val="single" w:sz="4" w:space="0" w:color="auto"/>
              <w:left w:val="nil"/>
              <w:bottom w:val="nil"/>
              <w:right w:val="nil"/>
            </w:tcBorders>
          </w:tcPr>
          <w:p w14:paraId="4789946D" w14:textId="77777777" w:rsidR="0038258E" w:rsidRPr="006C2CD0" w:rsidRDefault="0038258E" w:rsidP="000D7586">
            <w:pPr>
              <w:widowControl w:val="0"/>
              <w:autoSpaceDE w:val="0"/>
              <w:autoSpaceDN w:val="0"/>
              <w:adjustRightInd w:val="0"/>
              <w:spacing w:after="0" w:line="240" w:lineRule="auto"/>
              <w:jc w:val="center"/>
              <w:rPr>
                <w:sz w:val="22"/>
                <w:szCs w:val="22"/>
              </w:rPr>
            </w:pPr>
            <w:r w:rsidRPr="006C2CD0">
              <w:rPr>
                <w:sz w:val="22"/>
                <w:szCs w:val="22"/>
              </w:rPr>
              <w:t>(2)</w:t>
            </w:r>
          </w:p>
        </w:tc>
        <w:tc>
          <w:tcPr>
            <w:tcW w:w="1656" w:type="dxa"/>
            <w:tcBorders>
              <w:top w:val="single" w:sz="4" w:space="0" w:color="auto"/>
              <w:left w:val="nil"/>
              <w:bottom w:val="nil"/>
              <w:right w:val="nil"/>
            </w:tcBorders>
          </w:tcPr>
          <w:p w14:paraId="041001E7" w14:textId="77777777" w:rsidR="0038258E" w:rsidRPr="006C2CD0" w:rsidRDefault="0038258E" w:rsidP="000D7586">
            <w:pPr>
              <w:widowControl w:val="0"/>
              <w:autoSpaceDE w:val="0"/>
              <w:autoSpaceDN w:val="0"/>
              <w:adjustRightInd w:val="0"/>
              <w:spacing w:after="0" w:line="240" w:lineRule="auto"/>
              <w:jc w:val="center"/>
              <w:rPr>
                <w:sz w:val="22"/>
                <w:szCs w:val="22"/>
              </w:rPr>
            </w:pPr>
            <w:r w:rsidRPr="006C2CD0">
              <w:rPr>
                <w:sz w:val="22"/>
                <w:szCs w:val="22"/>
              </w:rPr>
              <w:t>(3)</w:t>
            </w:r>
          </w:p>
        </w:tc>
      </w:tr>
      <w:tr w:rsidR="0038258E" w14:paraId="119A4C67" w14:textId="77777777" w:rsidTr="000D7586">
        <w:trPr>
          <w:jc w:val="center"/>
        </w:trPr>
        <w:tc>
          <w:tcPr>
            <w:tcW w:w="3816" w:type="dxa"/>
            <w:tcBorders>
              <w:top w:val="nil"/>
              <w:left w:val="nil"/>
              <w:bottom w:val="nil"/>
              <w:right w:val="nil"/>
            </w:tcBorders>
          </w:tcPr>
          <w:p w14:paraId="40BA34B6" w14:textId="77777777" w:rsidR="0038258E" w:rsidRPr="006C2CD0" w:rsidRDefault="0038258E" w:rsidP="000D7586">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4284F412" w14:textId="77777777" w:rsidR="0038258E" w:rsidRPr="006C2CD0" w:rsidRDefault="0038258E" w:rsidP="000D7586">
            <w:pPr>
              <w:widowControl w:val="0"/>
              <w:autoSpaceDE w:val="0"/>
              <w:autoSpaceDN w:val="0"/>
              <w:adjustRightInd w:val="0"/>
              <w:spacing w:after="0" w:line="240" w:lineRule="auto"/>
              <w:jc w:val="center"/>
              <w:rPr>
                <w:sz w:val="22"/>
                <w:szCs w:val="22"/>
              </w:rPr>
            </w:pPr>
            <w:r w:rsidRPr="006C2CD0">
              <w:rPr>
                <w:sz w:val="22"/>
                <w:szCs w:val="22"/>
              </w:rPr>
              <w:t>2000-2016</w:t>
            </w:r>
          </w:p>
        </w:tc>
        <w:tc>
          <w:tcPr>
            <w:tcW w:w="1656" w:type="dxa"/>
            <w:tcBorders>
              <w:top w:val="nil"/>
              <w:left w:val="nil"/>
              <w:bottom w:val="nil"/>
              <w:right w:val="nil"/>
            </w:tcBorders>
          </w:tcPr>
          <w:p w14:paraId="01943B19" w14:textId="77777777" w:rsidR="0038258E" w:rsidRPr="006C2CD0" w:rsidRDefault="0038258E" w:rsidP="000D7586">
            <w:pPr>
              <w:widowControl w:val="0"/>
              <w:autoSpaceDE w:val="0"/>
              <w:autoSpaceDN w:val="0"/>
              <w:adjustRightInd w:val="0"/>
              <w:spacing w:after="0" w:line="240" w:lineRule="auto"/>
              <w:jc w:val="center"/>
              <w:rPr>
                <w:sz w:val="22"/>
                <w:szCs w:val="22"/>
              </w:rPr>
            </w:pPr>
            <w:r w:rsidRPr="006C2CD0">
              <w:rPr>
                <w:sz w:val="22"/>
                <w:szCs w:val="22"/>
              </w:rPr>
              <w:t>1980-1999</w:t>
            </w:r>
          </w:p>
        </w:tc>
        <w:tc>
          <w:tcPr>
            <w:tcW w:w="1656" w:type="dxa"/>
            <w:tcBorders>
              <w:top w:val="nil"/>
              <w:left w:val="nil"/>
              <w:bottom w:val="nil"/>
              <w:right w:val="nil"/>
            </w:tcBorders>
          </w:tcPr>
          <w:p w14:paraId="2EABD86B" w14:textId="77777777" w:rsidR="0038258E" w:rsidRPr="006C2CD0" w:rsidRDefault="0038258E" w:rsidP="000D7586">
            <w:pPr>
              <w:widowControl w:val="0"/>
              <w:autoSpaceDE w:val="0"/>
              <w:autoSpaceDN w:val="0"/>
              <w:adjustRightInd w:val="0"/>
              <w:spacing w:after="0" w:line="240" w:lineRule="auto"/>
              <w:jc w:val="center"/>
              <w:rPr>
                <w:sz w:val="22"/>
                <w:szCs w:val="22"/>
              </w:rPr>
            </w:pPr>
            <w:r w:rsidRPr="006C2CD0">
              <w:rPr>
                <w:sz w:val="22"/>
                <w:szCs w:val="22"/>
              </w:rPr>
              <w:t>Pooled 1980-2016</w:t>
            </w:r>
          </w:p>
        </w:tc>
      </w:tr>
      <w:tr w:rsidR="0002435E" w14:paraId="1F959A90" w14:textId="77777777" w:rsidTr="000D7586">
        <w:trPr>
          <w:jc w:val="center"/>
        </w:trPr>
        <w:tc>
          <w:tcPr>
            <w:tcW w:w="3816" w:type="dxa"/>
            <w:tcBorders>
              <w:top w:val="single" w:sz="4" w:space="0" w:color="auto"/>
              <w:left w:val="nil"/>
              <w:bottom w:val="nil"/>
              <w:right w:val="nil"/>
            </w:tcBorders>
          </w:tcPr>
          <w:p w14:paraId="6771CDFD" w14:textId="4FF7A5B3" w:rsidR="0002435E" w:rsidRPr="006C2CD0" w:rsidRDefault="0002435E" w:rsidP="0002435E">
            <w:pPr>
              <w:widowControl w:val="0"/>
              <w:autoSpaceDE w:val="0"/>
              <w:autoSpaceDN w:val="0"/>
              <w:adjustRightInd w:val="0"/>
              <w:spacing w:after="0" w:line="240" w:lineRule="auto"/>
              <w:rPr>
                <w:sz w:val="22"/>
                <w:szCs w:val="22"/>
              </w:rPr>
            </w:pPr>
            <w:r>
              <w:t>Broadband Subscriptions</w:t>
            </w:r>
          </w:p>
        </w:tc>
        <w:tc>
          <w:tcPr>
            <w:tcW w:w="1656" w:type="dxa"/>
            <w:tcBorders>
              <w:top w:val="single" w:sz="4" w:space="0" w:color="auto"/>
              <w:left w:val="nil"/>
              <w:bottom w:val="nil"/>
              <w:right w:val="nil"/>
            </w:tcBorders>
          </w:tcPr>
          <w:p w14:paraId="13F85ECF" w14:textId="13D1914D" w:rsidR="0002435E" w:rsidRPr="006C2CD0" w:rsidRDefault="0002435E" w:rsidP="0002435E">
            <w:pPr>
              <w:widowControl w:val="0"/>
              <w:autoSpaceDE w:val="0"/>
              <w:autoSpaceDN w:val="0"/>
              <w:adjustRightInd w:val="0"/>
              <w:spacing w:after="0" w:line="240" w:lineRule="auto"/>
              <w:jc w:val="center"/>
              <w:rPr>
                <w:sz w:val="22"/>
                <w:szCs w:val="22"/>
              </w:rPr>
            </w:pPr>
            <w:r>
              <w:t>1.7326**</w:t>
            </w:r>
          </w:p>
        </w:tc>
        <w:tc>
          <w:tcPr>
            <w:tcW w:w="1656" w:type="dxa"/>
            <w:tcBorders>
              <w:top w:val="single" w:sz="4" w:space="0" w:color="auto"/>
              <w:left w:val="nil"/>
              <w:bottom w:val="nil"/>
              <w:right w:val="nil"/>
            </w:tcBorders>
          </w:tcPr>
          <w:p w14:paraId="3A59D89B" w14:textId="77777777" w:rsidR="0002435E" w:rsidRPr="006C2CD0" w:rsidRDefault="0002435E" w:rsidP="0002435E">
            <w:pPr>
              <w:widowControl w:val="0"/>
              <w:autoSpaceDE w:val="0"/>
              <w:autoSpaceDN w:val="0"/>
              <w:adjustRightInd w:val="0"/>
              <w:spacing w:after="0" w:line="240" w:lineRule="auto"/>
              <w:jc w:val="center"/>
              <w:rPr>
                <w:sz w:val="22"/>
                <w:szCs w:val="22"/>
              </w:rPr>
            </w:pPr>
          </w:p>
        </w:tc>
        <w:tc>
          <w:tcPr>
            <w:tcW w:w="1656" w:type="dxa"/>
            <w:tcBorders>
              <w:top w:val="single" w:sz="4" w:space="0" w:color="auto"/>
              <w:left w:val="nil"/>
              <w:bottom w:val="nil"/>
              <w:right w:val="nil"/>
            </w:tcBorders>
          </w:tcPr>
          <w:p w14:paraId="23D78EFF" w14:textId="021C34C1" w:rsidR="0002435E" w:rsidRPr="006C2CD0" w:rsidRDefault="0002435E" w:rsidP="0002435E">
            <w:pPr>
              <w:widowControl w:val="0"/>
              <w:autoSpaceDE w:val="0"/>
              <w:autoSpaceDN w:val="0"/>
              <w:adjustRightInd w:val="0"/>
              <w:spacing w:after="0" w:line="240" w:lineRule="auto"/>
              <w:jc w:val="center"/>
              <w:rPr>
                <w:sz w:val="22"/>
                <w:szCs w:val="22"/>
              </w:rPr>
            </w:pPr>
            <w:r>
              <w:t>0.7365**</w:t>
            </w:r>
          </w:p>
        </w:tc>
      </w:tr>
      <w:tr w:rsidR="0002435E" w14:paraId="2A911DD4" w14:textId="77777777" w:rsidTr="000D7586">
        <w:trPr>
          <w:jc w:val="center"/>
        </w:trPr>
        <w:tc>
          <w:tcPr>
            <w:tcW w:w="3816" w:type="dxa"/>
            <w:tcBorders>
              <w:top w:val="nil"/>
              <w:left w:val="nil"/>
              <w:bottom w:val="nil"/>
              <w:right w:val="nil"/>
            </w:tcBorders>
          </w:tcPr>
          <w:p w14:paraId="49575C8E" w14:textId="77777777" w:rsidR="0002435E" w:rsidRPr="00E9608E" w:rsidRDefault="0002435E" w:rsidP="0002435E">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3786900C" w14:textId="6FA6CF88" w:rsidR="0002435E" w:rsidRPr="006C2CD0" w:rsidRDefault="0002435E" w:rsidP="0002435E">
            <w:pPr>
              <w:widowControl w:val="0"/>
              <w:autoSpaceDE w:val="0"/>
              <w:autoSpaceDN w:val="0"/>
              <w:adjustRightInd w:val="0"/>
              <w:spacing w:after="0" w:line="240" w:lineRule="auto"/>
              <w:jc w:val="center"/>
              <w:rPr>
                <w:sz w:val="22"/>
                <w:szCs w:val="22"/>
              </w:rPr>
            </w:pPr>
            <w:r>
              <w:t>(0.6056)</w:t>
            </w:r>
          </w:p>
        </w:tc>
        <w:tc>
          <w:tcPr>
            <w:tcW w:w="1656" w:type="dxa"/>
            <w:tcBorders>
              <w:top w:val="nil"/>
              <w:left w:val="nil"/>
              <w:bottom w:val="nil"/>
              <w:right w:val="nil"/>
            </w:tcBorders>
          </w:tcPr>
          <w:p w14:paraId="4050FBBE" w14:textId="77777777" w:rsidR="0002435E" w:rsidRPr="006C2CD0" w:rsidRDefault="0002435E" w:rsidP="0002435E">
            <w:pPr>
              <w:widowControl w:val="0"/>
              <w:autoSpaceDE w:val="0"/>
              <w:autoSpaceDN w:val="0"/>
              <w:adjustRightInd w:val="0"/>
              <w:spacing w:after="0" w:line="240" w:lineRule="auto"/>
              <w:jc w:val="center"/>
              <w:rPr>
                <w:sz w:val="22"/>
                <w:szCs w:val="22"/>
              </w:rPr>
            </w:pPr>
          </w:p>
        </w:tc>
        <w:tc>
          <w:tcPr>
            <w:tcW w:w="1656" w:type="dxa"/>
            <w:tcBorders>
              <w:top w:val="nil"/>
              <w:left w:val="nil"/>
              <w:bottom w:val="nil"/>
              <w:right w:val="nil"/>
            </w:tcBorders>
          </w:tcPr>
          <w:p w14:paraId="7DD68AA0" w14:textId="2C7036AE" w:rsidR="0002435E" w:rsidRPr="006C2CD0" w:rsidRDefault="0002435E" w:rsidP="0002435E">
            <w:pPr>
              <w:widowControl w:val="0"/>
              <w:autoSpaceDE w:val="0"/>
              <w:autoSpaceDN w:val="0"/>
              <w:adjustRightInd w:val="0"/>
              <w:spacing w:after="0" w:line="240" w:lineRule="auto"/>
              <w:jc w:val="center"/>
              <w:rPr>
                <w:sz w:val="22"/>
                <w:szCs w:val="22"/>
              </w:rPr>
            </w:pPr>
            <w:r>
              <w:t>(0.3600)</w:t>
            </w:r>
          </w:p>
        </w:tc>
      </w:tr>
      <w:tr w:rsidR="0002435E" w14:paraId="1A36F046" w14:textId="77777777" w:rsidTr="000D7586">
        <w:trPr>
          <w:jc w:val="center"/>
        </w:trPr>
        <w:tc>
          <w:tcPr>
            <w:tcW w:w="3816" w:type="dxa"/>
            <w:tcBorders>
              <w:top w:val="nil"/>
              <w:left w:val="nil"/>
              <w:bottom w:val="nil"/>
              <w:right w:val="nil"/>
            </w:tcBorders>
          </w:tcPr>
          <w:p w14:paraId="1C3211AE" w14:textId="1588B4E9" w:rsidR="0002435E" w:rsidRPr="00E9608E" w:rsidRDefault="0002435E" w:rsidP="0002435E">
            <w:pPr>
              <w:widowControl w:val="0"/>
              <w:autoSpaceDE w:val="0"/>
              <w:autoSpaceDN w:val="0"/>
              <w:adjustRightInd w:val="0"/>
              <w:spacing w:after="0" w:line="240" w:lineRule="auto"/>
              <w:rPr>
                <w:sz w:val="22"/>
                <w:szCs w:val="22"/>
              </w:rPr>
            </w:pPr>
            <w:r w:rsidRPr="00E9608E">
              <w:t>Latent Ties</w:t>
            </w:r>
            <w:r w:rsidR="00236528" w:rsidRPr="00E9608E">
              <w:t xml:space="preserve"> </w:t>
            </w:r>
          </w:p>
        </w:tc>
        <w:tc>
          <w:tcPr>
            <w:tcW w:w="1656" w:type="dxa"/>
            <w:tcBorders>
              <w:top w:val="nil"/>
              <w:left w:val="nil"/>
              <w:bottom w:val="nil"/>
              <w:right w:val="nil"/>
            </w:tcBorders>
          </w:tcPr>
          <w:p w14:paraId="47DCF483" w14:textId="6694BB2F" w:rsidR="0002435E" w:rsidRPr="006C2CD0" w:rsidRDefault="0002435E" w:rsidP="0002435E">
            <w:pPr>
              <w:widowControl w:val="0"/>
              <w:autoSpaceDE w:val="0"/>
              <w:autoSpaceDN w:val="0"/>
              <w:adjustRightInd w:val="0"/>
              <w:spacing w:after="0" w:line="240" w:lineRule="auto"/>
              <w:jc w:val="center"/>
              <w:rPr>
                <w:sz w:val="22"/>
                <w:szCs w:val="22"/>
              </w:rPr>
            </w:pPr>
            <w:r>
              <w:t>0.0829***</w:t>
            </w:r>
          </w:p>
        </w:tc>
        <w:tc>
          <w:tcPr>
            <w:tcW w:w="1656" w:type="dxa"/>
            <w:tcBorders>
              <w:top w:val="nil"/>
              <w:left w:val="nil"/>
              <w:bottom w:val="nil"/>
              <w:right w:val="nil"/>
            </w:tcBorders>
          </w:tcPr>
          <w:p w14:paraId="029D1731" w14:textId="45B82B6B" w:rsidR="0002435E" w:rsidRPr="006C2CD0" w:rsidRDefault="0002435E" w:rsidP="0002435E">
            <w:pPr>
              <w:widowControl w:val="0"/>
              <w:autoSpaceDE w:val="0"/>
              <w:autoSpaceDN w:val="0"/>
              <w:adjustRightInd w:val="0"/>
              <w:spacing w:after="0" w:line="240" w:lineRule="auto"/>
              <w:jc w:val="center"/>
              <w:rPr>
                <w:sz w:val="22"/>
                <w:szCs w:val="22"/>
              </w:rPr>
            </w:pPr>
            <w:r>
              <w:t>0.1003***</w:t>
            </w:r>
          </w:p>
        </w:tc>
        <w:tc>
          <w:tcPr>
            <w:tcW w:w="1656" w:type="dxa"/>
            <w:tcBorders>
              <w:top w:val="nil"/>
              <w:left w:val="nil"/>
              <w:bottom w:val="nil"/>
              <w:right w:val="nil"/>
            </w:tcBorders>
          </w:tcPr>
          <w:p w14:paraId="5F8F5EDB" w14:textId="07B07E9F" w:rsidR="0002435E" w:rsidRPr="006C2CD0" w:rsidRDefault="0002435E" w:rsidP="0002435E">
            <w:pPr>
              <w:widowControl w:val="0"/>
              <w:autoSpaceDE w:val="0"/>
              <w:autoSpaceDN w:val="0"/>
              <w:adjustRightInd w:val="0"/>
              <w:spacing w:after="0" w:line="240" w:lineRule="auto"/>
              <w:jc w:val="center"/>
              <w:rPr>
                <w:sz w:val="22"/>
                <w:szCs w:val="22"/>
              </w:rPr>
            </w:pPr>
            <w:r>
              <w:t>0.1315***</w:t>
            </w:r>
          </w:p>
        </w:tc>
      </w:tr>
      <w:tr w:rsidR="0002435E" w14:paraId="14ACAC2C" w14:textId="77777777" w:rsidTr="000D7586">
        <w:trPr>
          <w:jc w:val="center"/>
        </w:trPr>
        <w:tc>
          <w:tcPr>
            <w:tcW w:w="3816" w:type="dxa"/>
            <w:tcBorders>
              <w:top w:val="nil"/>
              <w:left w:val="nil"/>
              <w:bottom w:val="nil"/>
              <w:right w:val="nil"/>
            </w:tcBorders>
          </w:tcPr>
          <w:p w14:paraId="48AC6972" w14:textId="77777777" w:rsidR="0002435E" w:rsidRPr="00E9608E" w:rsidRDefault="0002435E" w:rsidP="0002435E">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19562736" w14:textId="3CDE24BF" w:rsidR="0002435E" w:rsidRPr="006C2CD0" w:rsidRDefault="0002435E" w:rsidP="0002435E">
            <w:pPr>
              <w:widowControl w:val="0"/>
              <w:autoSpaceDE w:val="0"/>
              <w:autoSpaceDN w:val="0"/>
              <w:adjustRightInd w:val="0"/>
              <w:spacing w:after="0" w:line="240" w:lineRule="auto"/>
              <w:jc w:val="center"/>
              <w:rPr>
                <w:sz w:val="22"/>
                <w:szCs w:val="22"/>
              </w:rPr>
            </w:pPr>
            <w:r>
              <w:t>(0.0220)</w:t>
            </w:r>
          </w:p>
        </w:tc>
        <w:tc>
          <w:tcPr>
            <w:tcW w:w="1656" w:type="dxa"/>
            <w:tcBorders>
              <w:top w:val="nil"/>
              <w:left w:val="nil"/>
              <w:bottom w:val="nil"/>
              <w:right w:val="nil"/>
            </w:tcBorders>
          </w:tcPr>
          <w:p w14:paraId="192B1292" w14:textId="45DBD59B" w:rsidR="0002435E" w:rsidRPr="006C2CD0" w:rsidRDefault="0002435E" w:rsidP="0002435E">
            <w:pPr>
              <w:widowControl w:val="0"/>
              <w:autoSpaceDE w:val="0"/>
              <w:autoSpaceDN w:val="0"/>
              <w:adjustRightInd w:val="0"/>
              <w:spacing w:after="0" w:line="240" w:lineRule="auto"/>
              <w:jc w:val="center"/>
              <w:rPr>
                <w:sz w:val="22"/>
                <w:szCs w:val="22"/>
              </w:rPr>
            </w:pPr>
            <w:r>
              <w:t>(0.0113)</w:t>
            </w:r>
          </w:p>
        </w:tc>
        <w:tc>
          <w:tcPr>
            <w:tcW w:w="1656" w:type="dxa"/>
            <w:tcBorders>
              <w:top w:val="nil"/>
              <w:left w:val="nil"/>
              <w:bottom w:val="nil"/>
              <w:right w:val="nil"/>
            </w:tcBorders>
          </w:tcPr>
          <w:p w14:paraId="24741740" w14:textId="65B8A52D" w:rsidR="0002435E" w:rsidRPr="006C2CD0" w:rsidRDefault="0002435E" w:rsidP="0002435E">
            <w:pPr>
              <w:widowControl w:val="0"/>
              <w:autoSpaceDE w:val="0"/>
              <w:autoSpaceDN w:val="0"/>
              <w:adjustRightInd w:val="0"/>
              <w:spacing w:after="0" w:line="240" w:lineRule="auto"/>
              <w:jc w:val="center"/>
              <w:rPr>
                <w:sz w:val="22"/>
                <w:szCs w:val="22"/>
              </w:rPr>
            </w:pPr>
            <w:r>
              <w:t>(0.0085)</w:t>
            </w:r>
          </w:p>
        </w:tc>
      </w:tr>
      <w:tr w:rsidR="0002435E" w14:paraId="7BAC7427" w14:textId="77777777" w:rsidTr="000D7586">
        <w:trPr>
          <w:jc w:val="center"/>
        </w:trPr>
        <w:tc>
          <w:tcPr>
            <w:tcW w:w="3816" w:type="dxa"/>
            <w:tcBorders>
              <w:top w:val="nil"/>
              <w:left w:val="nil"/>
              <w:bottom w:val="nil"/>
              <w:right w:val="nil"/>
            </w:tcBorders>
          </w:tcPr>
          <w:p w14:paraId="3F55D71F" w14:textId="2A41066A" w:rsidR="0002435E" w:rsidRPr="00E9608E" w:rsidRDefault="0002435E" w:rsidP="0002435E">
            <w:pPr>
              <w:widowControl w:val="0"/>
              <w:autoSpaceDE w:val="0"/>
              <w:autoSpaceDN w:val="0"/>
              <w:adjustRightInd w:val="0"/>
              <w:spacing w:after="0" w:line="240" w:lineRule="auto"/>
              <w:rPr>
                <w:sz w:val="22"/>
                <w:szCs w:val="22"/>
              </w:rPr>
            </w:pPr>
            <w:r w:rsidRPr="00E9608E">
              <w:t>Geographic Contiguity</w:t>
            </w:r>
          </w:p>
        </w:tc>
        <w:tc>
          <w:tcPr>
            <w:tcW w:w="1656" w:type="dxa"/>
            <w:tcBorders>
              <w:top w:val="nil"/>
              <w:left w:val="nil"/>
              <w:bottom w:val="nil"/>
              <w:right w:val="nil"/>
            </w:tcBorders>
          </w:tcPr>
          <w:p w14:paraId="5B2A9082" w14:textId="5D9B5048" w:rsidR="0002435E" w:rsidRPr="006C2CD0" w:rsidRDefault="0002435E" w:rsidP="0002435E">
            <w:pPr>
              <w:widowControl w:val="0"/>
              <w:autoSpaceDE w:val="0"/>
              <w:autoSpaceDN w:val="0"/>
              <w:adjustRightInd w:val="0"/>
              <w:spacing w:after="0" w:line="240" w:lineRule="auto"/>
              <w:jc w:val="center"/>
              <w:rPr>
                <w:sz w:val="22"/>
                <w:szCs w:val="22"/>
              </w:rPr>
            </w:pPr>
            <w:r>
              <w:t>0.1585***</w:t>
            </w:r>
          </w:p>
        </w:tc>
        <w:tc>
          <w:tcPr>
            <w:tcW w:w="1656" w:type="dxa"/>
            <w:tcBorders>
              <w:top w:val="nil"/>
              <w:left w:val="nil"/>
              <w:bottom w:val="nil"/>
              <w:right w:val="nil"/>
            </w:tcBorders>
          </w:tcPr>
          <w:p w14:paraId="0AF6B9AD" w14:textId="52809B52" w:rsidR="0002435E" w:rsidRPr="006C2CD0" w:rsidRDefault="0002435E" w:rsidP="0002435E">
            <w:pPr>
              <w:widowControl w:val="0"/>
              <w:autoSpaceDE w:val="0"/>
              <w:autoSpaceDN w:val="0"/>
              <w:adjustRightInd w:val="0"/>
              <w:spacing w:after="0" w:line="240" w:lineRule="auto"/>
              <w:jc w:val="center"/>
              <w:rPr>
                <w:sz w:val="22"/>
                <w:szCs w:val="22"/>
              </w:rPr>
            </w:pPr>
            <w:r>
              <w:t>0.1878***</w:t>
            </w:r>
          </w:p>
        </w:tc>
        <w:tc>
          <w:tcPr>
            <w:tcW w:w="1656" w:type="dxa"/>
            <w:tcBorders>
              <w:top w:val="nil"/>
              <w:left w:val="nil"/>
              <w:bottom w:val="nil"/>
              <w:right w:val="nil"/>
            </w:tcBorders>
          </w:tcPr>
          <w:p w14:paraId="363DCB49" w14:textId="0BC1E919" w:rsidR="0002435E" w:rsidRPr="006C2CD0" w:rsidRDefault="0002435E" w:rsidP="0002435E">
            <w:pPr>
              <w:widowControl w:val="0"/>
              <w:autoSpaceDE w:val="0"/>
              <w:autoSpaceDN w:val="0"/>
              <w:adjustRightInd w:val="0"/>
              <w:spacing w:after="0" w:line="240" w:lineRule="auto"/>
              <w:jc w:val="center"/>
              <w:rPr>
                <w:sz w:val="22"/>
                <w:szCs w:val="22"/>
              </w:rPr>
            </w:pPr>
            <w:r>
              <w:t>0.1766***</w:t>
            </w:r>
          </w:p>
        </w:tc>
      </w:tr>
      <w:tr w:rsidR="0002435E" w14:paraId="43BF08EE" w14:textId="77777777" w:rsidTr="000D7586">
        <w:trPr>
          <w:jc w:val="center"/>
        </w:trPr>
        <w:tc>
          <w:tcPr>
            <w:tcW w:w="3816" w:type="dxa"/>
            <w:tcBorders>
              <w:top w:val="nil"/>
              <w:left w:val="nil"/>
              <w:bottom w:val="nil"/>
              <w:right w:val="nil"/>
            </w:tcBorders>
          </w:tcPr>
          <w:p w14:paraId="21F0E4B2" w14:textId="77777777" w:rsidR="0002435E" w:rsidRPr="00E9608E" w:rsidRDefault="0002435E" w:rsidP="0002435E">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31824320" w14:textId="1ABFEC78" w:rsidR="0002435E" w:rsidRPr="006C2CD0" w:rsidRDefault="0002435E" w:rsidP="0002435E">
            <w:pPr>
              <w:widowControl w:val="0"/>
              <w:autoSpaceDE w:val="0"/>
              <w:autoSpaceDN w:val="0"/>
              <w:adjustRightInd w:val="0"/>
              <w:spacing w:after="0" w:line="240" w:lineRule="auto"/>
              <w:jc w:val="center"/>
              <w:rPr>
                <w:sz w:val="22"/>
                <w:szCs w:val="22"/>
              </w:rPr>
            </w:pPr>
            <w:r>
              <w:t>(0.0273)</w:t>
            </w:r>
          </w:p>
        </w:tc>
        <w:tc>
          <w:tcPr>
            <w:tcW w:w="1656" w:type="dxa"/>
            <w:tcBorders>
              <w:top w:val="nil"/>
              <w:left w:val="nil"/>
              <w:bottom w:val="nil"/>
              <w:right w:val="nil"/>
            </w:tcBorders>
          </w:tcPr>
          <w:p w14:paraId="6D5600E2" w14:textId="4DC72D69" w:rsidR="0002435E" w:rsidRPr="006C2CD0" w:rsidRDefault="0002435E" w:rsidP="0002435E">
            <w:pPr>
              <w:widowControl w:val="0"/>
              <w:autoSpaceDE w:val="0"/>
              <w:autoSpaceDN w:val="0"/>
              <w:adjustRightInd w:val="0"/>
              <w:spacing w:after="0" w:line="240" w:lineRule="auto"/>
              <w:jc w:val="center"/>
              <w:rPr>
                <w:sz w:val="22"/>
                <w:szCs w:val="22"/>
              </w:rPr>
            </w:pPr>
            <w:r>
              <w:t>(0.0178)</w:t>
            </w:r>
          </w:p>
        </w:tc>
        <w:tc>
          <w:tcPr>
            <w:tcW w:w="1656" w:type="dxa"/>
            <w:tcBorders>
              <w:top w:val="nil"/>
              <w:left w:val="nil"/>
              <w:bottom w:val="nil"/>
              <w:right w:val="nil"/>
            </w:tcBorders>
          </w:tcPr>
          <w:p w14:paraId="176CCB46" w14:textId="6508B74D" w:rsidR="0002435E" w:rsidRPr="006C2CD0" w:rsidRDefault="0002435E" w:rsidP="0002435E">
            <w:pPr>
              <w:widowControl w:val="0"/>
              <w:autoSpaceDE w:val="0"/>
              <w:autoSpaceDN w:val="0"/>
              <w:adjustRightInd w:val="0"/>
              <w:spacing w:after="0" w:line="240" w:lineRule="auto"/>
              <w:jc w:val="center"/>
              <w:rPr>
                <w:sz w:val="22"/>
                <w:szCs w:val="22"/>
              </w:rPr>
            </w:pPr>
            <w:r>
              <w:t>(0.0118)</w:t>
            </w:r>
          </w:p>
        </w:tc>
      </w:tr>
      <w:tr w:rsidR="0002435E" w14:paraId="3A69B98A" w14:textId="77777777" w:rsidTr="000D7586">
        <w:trPr>
          <w:jc w:val="center"/>
        </w:trPr>
        <w:tc>
          <w:tcPr>
            <w:tcW w:w="3816" w:type="dxa"/>
            <w:tcBorders>
              <w:top w:val="nil"/>
              <w:left w:val="nil"/>
              <w:bottom w:val="nil"/>
              <w:right w:val="nil"/>
            </w:tcBorders>
          </w:tcPr>
          <w:p w14:paraId="12C67DC3" w14:textId="6C9E7202" w:rsidR="0002435E" w:rsidRPr="00E9608E" w:rsidRDefault="0002435E" w:rsidP="0002435E">
            <w:pPr>
              <w:widowControl w:val="0"/>
              <w:autoSpaceDE w:val="0"/>
              <w:autoSpaceDN w:val="0"/>
              <w:adjustRightInd w:val="0"/>
              <w:spacing w:after="0" w:line="240" w:lineRule="auto"/>
              <w:rPr>
                <w:sz w:val="22"/>
                <w:szCs w:val="22"/>
              </w:rPr>
            </w:pPr>
            <w:r w:rsidRPr="00E9608E">
              <w:t>Ideological Distance</w:t>
            </w:r>
            <w:r w:rsidR="00541889" w:rsidRPr="00E9608E">
              <w:t xml:space="preserve"> </w:t>
            </w:r>
          </w:p>
        </w:tc>
        <w:tc>
          <w:tcPr>
            <w:tcW w:w="1656" w:type="dxa"/>
            <w:tcBorders>
              <w:top w:val="nil"/>
              <w:left w:val="nil"/>
              <w:bottom w:val="nil"/>
              <w:right w:val="nil"/>
            </w:tcBorders>
          </w:tcPr>
          <w:p w14:paraId="63D35982" w14:textId="3DC783E5" w:rsidR="0002435E" w:rsidRPr="006C2CD0" w:rsidRDefault="0002435E" w:rsidP="0002435E">
            <w:pPr>
              <w:widowControl w:val="0"/>
              <w:autoSpaceDE w:val="0"/>
              <w:autoSpaceDN w:val="0"/>
              <w:adjustRightInd w:val="0"/>
              <w:spacing w:after="0" w:line="240" w:lineRule="auto"/>
              <w:jc w:val="center"/>
              <w:rPr>
                <w:sz w:val="22"/>
                <w:szCs w:val="22"/>
              </w:rPr>
            </w:pPr>
            <w:r>
              <w:t>-0.0040</w:t>
            </w:r>
          </w:p>
        </w:tc>
        <w:tc>
          <w:tcPr>
            <w:tcW w:w="1656" w:type="dxa"/>
            <w:tcBorders>
              <w:top w:val="nil"/>
              <w:left w:val="nil"/>
              <w:bottom w:val="nil"/>
              <w:right w:val="nil"/>
            </w:tcBorders>
          </w:tcPr>
          <w:p w14:paraId="3E1DCEDB" w14:textId="043A923D" w:rsidR="0002435E" w:rsidRPr="006C2CD0" w:rsidRDefault="0002435E" w:rsidP="0002435E">
            <w:pPr>
              <w:widowControl w:val="0"/>
              <w:autoSpaceDE w:val="0"/>
              <w:autoSpaceDN w:val="0"/>
              <w:adjustRightInd w:val="0"/>
              <w:spacing w:after="0" w:line="240" w:lineRule="auto"/>
              <w:jc w:val="center"/>
              <w:rPr>
                <w:sz w:val="22"/>
                <w:szCs w:val="22"/>
              </w:rPr>
            </w:pPr>
            <w:r>
              <w:t>-0.0062</w:t>
            </w:r>
          </w:p>
        </w:tc>
        <w:tc>
          <w:tcPr>
            <w:tcW w:w="1656" w:type="dxa"/>
            <w:tcBorders>
              <w:top w:val="nil"/>
              <w:left w:val="nil"/>
              <w:bottom w:val="nil"/>
              <w:right w:val="nil"/>
            </w:tcBorders>
          </w:tcPr>
          <w:p w14:paraId="1895805A" w14:textId="2F96A6F0" w:rsidR="0002435E" w:rsidRPr="006C2CD0" w:rsidRDefault="0002435E" w:rsidP="0002435E">
            <w:pPr>
              <w:widowControl w:val="0"/>
              <w:autoSpaceDE w:val="0"/>
              <w:autoSpaceDN w:val="0"/>
              <w:adjustRightInd w:val="0"/>
              <w:spacing w:after="0" w:line="240" w:lineRule="auto"/>
              <w:jc w:val="center"/>
              <w:rPr>
                <w:sz w:val="22"/>
                <w:szCs w:val="22"/>
              </w:rPr>
            </w:pPr>
            <w:r>
              <w:t>-0.0081**</w:t>
            </w:r>
          </w:p>
        </w:tc>
      </w:tr>
      <w:tr w:rsidR="0002435E" w14:paraId="526B090B" w14:textId="77777777" w:rsidTr="000D7586">
        <w:trPr>
          <w:jc w:val="center"/>
        </w:trPr>
        <w:tc>
          <w:tcPr>
            <w:tcW w:w="3816" w:type="dxa"/>
            <w:tcBorders>
              <w:top w:val="nil"/>
              <w:left w:val="nil"/>
              <w:bottom w:val="nil"/>
              <w:right w:val="nil"/>
            </w:tcBorders>
          </w:tcPr>
          <w:p w14:paraId="04FFA97F" w14:textId="77777777" w:rsidR="0002435E" w:rsidRPr="00E9608E" w:rsidRDefault="0002435E" w:rsidP="0002435E">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5F160FC1" w14:textId="2844BCA2" w:rsidR="0002435E" w:rsidRPr="006C2CD0" w:rsidRDefault="0002435E" w:rsidP="0002435E">
            <w:pPr>
              <w:widowControl w:val="0"/>
              <w:autoSpaceDE w:val="0"/>
              <w:autoSpaceDN w:val="0"/>
              <w:adjustRightInd w:val="0"/>
              <w:spacing w:after="0" w:line="240" w:lineRule="auto"/>
              <w:jc w:val="center"/>
              <w:rPr>
                <w:sz w:val="22"/>
                <w:szCs w:val="22"/>
              </w:rPr>
            </w:pPr>
            <w:r>
              <w:t>(0.0052)</w:t>
            </w:r>
          </w:p>
        </w:tc>
        <w:tc>
          <w:tcPr>
            <w:tcW w:w="1656" w:type="dxa"/>
            <w:tcBorders>
              <w:top w:val="nil"/>
              <w:left w:val="nil"/>
              <w:bottom w:val="nil"/>
              <w:right w:val="nil"/>
            </w:tcBorders>
          </w:tcPr>
          <w:p w14:paraId="6C6735CE" w14:textId="19C8E3C1" w:rsidR="0002435E" w:rsidRPr="006C2CD0" w:rsidRDefault="0002435E" w:rsidP="0002435E">
            <w:pPr>
              <w:widowControl w:val="0"/>
              <w:autoSpaceDE w:val="0"/>
              <w:autoSpaceDN w:val="0"/>
              <w:adjustRightInd w:val="0"/>
              <w:spacing w:after="0" w:line="240" w:lineRule="auto"/>
              <w:jc w:val="center"/>
              <w:rPr>
                <w:sz w:val="22"/>
                <w:szCs w:val="22"/>
              </w:rPr>
            </w:pPr>
            <w:r>
              <w:t>(0.0040)</w:t>
            </w:r>
          </w:p>
        </w:tc>
        <w:tc>
          <w:tcPr>
            <w:tcW w:w="1656" w:type="dxa"/>
            <w:tcBorders>
              <w:top w:val="nil"/>
              <w:left w:val="nil"/>
              <w:bottom w:val="nil"/>
              <w:right w:val="nil"/>
            </w:tcBorders>
          </w:tcPr>
          <w:p w14:paraId="4E87FFBE" w14:textId="12B76A53" w:rsidR="0002435E" w:rsidRPr="006C2CD0" w:rsidRDefault="0002435E" w:rsidP="0002435E">
            <w:pPr>
              <w:widowControl w:val="0"/>
              <w:autoSpaceDE w:val="0"/>
              <w:autoSpaceDN w:val="0"/>
              <w:adjustRightInd w:val="0"/>
              <w:spacing w:after="0" w:line="240" w:lineRule="auto"/>
              <w:jc w:val="center"/>
              <w:rPr>
                <w:sz w:val="22"/>
                <w:szCs w:val="22"/>
              </w:rPr>
            </w:pPr>
            <w:r>
              <w:t>(0.0028)</w:t>
            </w:r>
          </w:p>
        </w:tc>
      </w:tr>
      <w:tr w:rsidR="0002435E" w14:paraId="44AF308B" w14:textId="77777777" w:rsidTr="000D7586">
        <w:trPr>
          <w:trHeight w:val="351"/>
          <w:jc w:val="center"/>
        </w:trPr>
        <w:tc>
          <w:tcPr>
            <w:tcW w:w="3816" w:type="dxa"/>
            <w:tcBorders>
              <w:top w:val="nil"/>
              <w:left w:val="nil"/>
              <w:bottom w:val="nil"/>
              <w:right w:val="nil"/>
            </w:tcBorders>
          </w:tcPr>
          <w:p w14:paraId="6F46CFD9" w14:textId="5EC5AE48" w:rsidR="0002435E" w:rsidRPr="00E9608E" w:rsidRDefault="0002435E" w:rsidP="0002435E">
            <w:pPr>
              <w:widowControl w:val="0"/>
              <w:autoSpaceDE w:val="0"/>
              <w:autoSpaceDN w:val="0"/>
              <w:adjustRightInd w:val="0"/>
              <w:spacing w:after="0" w:line="240" w:lineRule="auto"/>
              <w:rPr>
                <w:sz w:val="22"/>
                <w:szCs w:val="22"/>
              </w:rPr>
            </w:pPr>
            <w:r w:rsidRPr="00E9608E">
              <w:t>Population</w:t>
            </w:r>
          </w:p>
        </w:tc>
        <w:tc>
          <w:tcPr>
            <w:tcW w:w="1656" w:type="dxa"/>
            <w:tcBorders>
              <w:top w:val="nil"/>
              <w:left w:val="nil"/>
              <w:bottom w:val="nil"/>
              <w:right w:val="nil"/>
            </w:tcBorders>
          </w:tcPr>
          <w:p w14:paraId="0AA0A468" w14:textId="22F44E4F" w:rsidR="0002435E" w:rsidRPr="006C2CD0" w:rsidRDefault="0002435E" w:rsidP="0002435E">
            <w:pPr>
              <w:widowControl w:val="0"/>
              <w:autoSpaceDE w:val="0"/>
              <w:autoSpaceDN w:val="0"/>
              <w:adjustRightInd w:val="0"/>
              <w:spacing w:after="0" w:line="240" w:lineRule="auto"/>
              <w:jc w:val="center"/>
              <w:rPr>
                <w:sz w:val="22"/>
                <w:szCs w:val="22"/>
              </w:rPr>
            </w:pPr>
            <w:r>
              <w:t>0.0538</w:t>
            </w:r>
          </w:p>
        </w:tc>
        <w:tc>
          <w:tcPr>
            <w:tcW w:w="1656" w:type="dxa"/>
            <w:tcBorders>
              <w:top w:val="nil"/>
              <w:left w:val="nil"/>
              <w:bottom w:val="nil"/>
              <w:right w:val="nil"/>
            </w:tcBorders>
          </w:tcPr>
          <w:p w14:paraId="4FCFE4E6" w14:textId="1BE90D1B" w:rsidR="0002435E" w:rsidRPr="006C2CD0" w:rsidRDefault="0002435E" w:rsidP="0002435E">
            <w:pPr>
              <w:widowControl w:val="0"/>
              <w:autoSpaceDE w:val="0"/>
              <w:autoSpaceDN w:val="0"/>
              <w:adjustRightInd w:val="0"/>
              <w:spacing w:after="0" w:line="240" w:lineRule="auto"/>
              <w:jc w:val="center"/>
              <w:rPr>
                <w:sz w:val="22"/>
                <w:szCs w:val="22"/>
              </w:rPr>
            </w:pPr>
            <w:r>
              <w:t>0.1235***</w:t>
            </w:r>
          </w:p>
        </w:tc>
        <w:tc>
          <w:tcPr>
            <w:tcW w:w="1656" w:type="dxa"/>
            <w:tcBorders>
              <w:top w:val="nil"/>
              <w:left w:val="nil"/>
              <w:bottom w:val="nil"/>
              <w:right w:val="nil"/>
            </w:tcBorders>
          </w:tcPr>
          <w:p w14:paraId="758D3174" w14:textId="18045B3B" w:rsidR="0002435E" w:rsidRPr="006C2CD0" w:rsidRDefault="0002435E" w:rsidP="0002435E">
            <w:pPr>
              <w:widowControl w:val="0"/>
              <w:autoSpaceDE w:val="0"/>
              <w:autoSpaceDN w:val="0"/>
              <w:adjustRightInd w:val="0"/>
              <w:spacing w:after="0" w:line="240" w:lineRule="auto"/>
              <w:jc w:val="center"/>
              <w:rPr>
                <w:sz w:val="22"/>
                <w:szCs w:val="22"/>
              </w:rPr>
            </w:pPr>
            <w:r>
              <w:t>0.0994***</w:t>
            </w:r>
          </w:p>
        </w:tc>
      </w:tr>
      <w:tr w:rsidR="0002435E" w14:paraId="2D246F59" w14:textId="77777777" w:rsidTr="000D7586">
        <w:trPr>
          <w:jc w:val="center"/>
        </w:trPr>
        <w:tc>
          <w:tcPr>
            <w:tcW w:w="3816" w:type="dxa"/>
            <w:tcBorders>
              <w:top w:val="nil"/>
              <w:left w:val="nil"/>
              <w:bottom w:val="nil"/>
              <w:right w:val="nil"/>
            </w:tcBorders>
          </w:tcPr>
          <w:p w14:paraId="0FE612A6" w14:textId="77777777" w:rsidR="0002435E" w:rsidRPr="00E9608E" w:rsidRDefault="0002435E" w:rsidP="0002435E">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08662F18" w14:textId="1B391B68" w:rsidR="0002435E" w:rsidRPr="006C2CD0" w:rsidRDefault="0002435E" w:rsidP="0002435E">
            <w:pPr>
              <w:widowControl w:val="0"/>
              <w:autoSpaceDE w:val="0"/>
              <w:autoSpaceDN w:val="0"/>
              <w:adjustRightInd w:val="0"/>
              <w:spacing w:after="0" w:line="240" w:lineRule="auto"/>
              <w:jc w:val="center"/>
              <w:rPr>
                <w:sz w:val="22"/>
                <w:szCs w:val="22"/>
              </w:rPr>
            </w:pPr>
            <w:r>
              <w:t>(0.0356)</w:t>
            </w:r>
          </w:p>
        </w:tc>
        <w:tc>
          <w:tcPr>
            <w:tcW w:w="1656" w:type="dxa"/>
            <w:tcBorders>
              <w:top w:val="nil"/>
              <w:left w:val="nil"/>
              <w:bottom w:val="nil"/>
              <w:right w:val="nil"/>
            </w:tcBorders>
          </w:tcPr>
          <w:p w14:paraId="53295574" w14:textId="5714D556" w:rsidR="0002435E" w:rsidRPr="006C2CD0" w:rsidRDefault="0002435E" w:rsidP="0002435E">
            <w:pPr>
              <w:widowControl w:val="0"/>
              <w:autoSpaceDE w:val="0"/>
              <w:autoSpaceDN w:val="0"/>
              <w:adjustRightInd w:val="0"/>
              <w:spacing w:after="0" w:line="240" w:lineRule="auto"/>
              <w:jc w:val="center"/>
              <w:rPr>
                <w:sz w:val="22"/>
                <w:szCs w:val="22"/>
              </w:rPr>
            </w:pPr>
            <w:r>
              <w:t>(0.0262)</w:t>
            </w:r>
          </w:p>
        </w:tc>
        <w:tc>
          <w:tcPr>
            <w:tcW w:w="1656" w:type="dxa"/>
            <w:tcBorders>
              <w:top w:val="nil"/>
              <w:left w:val="nil"/>
              <w:bottom w:val="nil"/>
              <w:right w:val="nil"/>
            </w:tcBorders>
          </w:tcPr>
          <w:p w14:paraId="73C023A5" w14:textId="6FE8EABF" w:rsidR="0002435E" w:rsidRPr="006C2CD0" w:rsidRDefault="0002435E" w:rsidP="0002435E">
            <w:pPr>
              <w:widowControl w:val="0"/>
              <w:autoSpaceDE w:val="0"/>
              <w:autoSpaceDN w:val="0"/>
              <w:adjustRightInd w:val="0"/>
              <w:spacing w:after="0" w:line="240" w:lineRule="auto"/>
              <w:jc w:val="center"/>
              <w:rPr>
                <w:sz w:val="22"/>
                <w:szCs w:val="22"/>
              </w:rPr>
            </w:pPr>
            <w:r>
              <w:t>(0.0180)</w:t>
            </w:r>
          </w:p>
        </w:tc>
      </w:tr>
      <w:tr w:rsidR="007737F8" w14:paraId="746351BE" w14:textId="77777777" w:rsidTr="000D7586">
        <w:trPr>
          <w:jc w:val="center"/>
        </w:trPr>
        <w:tc>
          <w:tcPr>
            <w:tcW w:w="3816" w:type="dxa"/>
            <w:tcBorders>
              <w:top w:val="nil"/>
              <w:left w:val="nil"/>
              <w:bottom w:val="nil"/>
              <w:right w:val="nil"/>
            </w:tcBorders>
          </w:tcPr>
          <w:p w14:paraId="69D06D4A" w14:textId="0913F46E" w:rsidR="007737F8" w:rsidRPr="00E9608E" w:rsidRDefault="00E9608E" w:rsidP="007737F8">
            <w:pPr>
              <w:widowControl w:val="0"/>
              <w:autoSpaceDE w:val="0"/>
              <w:autoSpaceDN w:val="0"/>
              <w:adjustRightInd w:val="0"/>
              <w:spacing w:after="0" w:line="240" w:lineRule="auto"/>
              <w:rPr>
                <w:sz w:val="22"/>
                <w:szCs w:val="22"/>
              </w:rPr>
            </w:pPr>
            <w:r w:rsidRPr="00E9608E">
              <w:t>Public L</w:t>
            </w:r>
            <w:r w:rsidR="00C432FD">
              <w:t>i</w:t>
            </w:r>
            <w:r w:rsidRPr="00E9608E">
              <w:t>beralism</w:t>
            </w:r>
            <w:r w:rsidR="00C432FD">
              <w:t xml:space="preserve"> </w:t>
            </w:r>
          </w:p>
        </w:tc>
        <w:tc>
          <w:tcPr>
            <w:tcW w:w="1656" w:type="dxa"/>
            <w:tcBorders>
              <w:top w:val="nil"/>
              <w:left w:val="nil"/>
              <w:bottom w:val="nil"/>
              <w:right w:val="nil"/>
            </w:tcBorders>
          </w:tcPr>
          <w:p w14:paraId="7BFDA66B" w14:textId="50257611" w:rsidR="007737F8" w:rsidRPr="006C2CD0" w:rsidRDefault="007737F8" w:rsidP="007737F8">
            <w:pPr>
              <w:widowControl w:val="0"/>
              <w:autoSpaceDE w:val="0"/>
              <w:autoSpaceDN w:val="0"/>
              <w:adjustRightInd w:val="0"/>
              <w:spacing w:after="0" w:line="240" w:lineRule="auto"/>
              <w:jc w:val="center"/>
              <w:rPr>
                <w:sz w:val="22"/>
                <w:szCs w:val="22"/>
              </w:rPr>
            </w:pPr>
            <w:r>
              <w:t>0.0351</w:t>
            </w:r>
          </w:p>
        </w:tc>
        <w:tc>
          <w:tcPr>
            <w:tcW w:w="1656" w:type="dxa"/>
            <w:tcBorders>
              <w:top w:val="nil"/>
              <w:left w:val="nil"/>
              <w:bottom w:val="nil"/>
              <w:right w:val="nil"/>
            </w:tcBorders>
          </w:tcPr>
          <w:p w14:paraId="4CE63E59" w14:textId="58FAB77E" w:rsidR="007737F8" w:rsidRPr="006C2CD0" w:rsidRDefault="007737F8" w:rsidP="007737F8">
            <w:pPr>
              <w:widowControl w:val="0"/>
              <w:autoSpaceDE w:val="0"/>
              <w:autoSpaceDN w:val="0"/>
              <w:adjustRightInd w:val="0"/>
              <w:spacing w:after="0" w:line="240" w:lineRule="auto"/>
              <w:jc w:val="center"/>
              <w:rPr>
                <w:sz w:val="22"/>
                <w:szCs w:val="22"/>
              </w:rPr>
            </w:pPr>
            <w:r>
              <w:t>0.1516***</w:t>
            </w:r>
          </w:p>
        </w:tc>
        <w:tc>
          <w:tcPr>
            <w:tcW w:w="1656" w:type="dxa"/>
            <w:tcBorders>
              <w:top w:val="nil"/>
              <w:left w:val="nil"/>
              <w:bottom w:val="nil"/>
              <w:right w:val="nil"/>
            </w:tcBorders>
          </w:tcPr>
          <w:p w14:paraId="37F2B054" w14:textId="2E1F2BA5" w:rsidR="007737F8" w:rsidRPr="006C2CD0" w:rsidRDefault="007737F8" w:rsidP="007737F8">
            <w:pPr>
              <w:widowControl w:val="0"/>
              <w:autoSpaceDE w:val="0"/>
              <w:autoSpaceDN w:val="0"/>
              <w:adjustRightInd w:val="0"/>
              <w:spacing w:after="0" w:line="240" w:lineRule="auto"/>
              <w:jc w:val="center"/>
              <w:rPr>
                <w:sz w:val="22"/>
                <w:szCs w:val="22"/>
              </w:rPr>
            </w:pPr>
            <w:r>
              <w:t>0.1532***</w:t>
            </w:r>
          </w:p>
        </w:tc>
      </w:tr>
      <w:tr w:rsidR="007737F8" w14:paraId="0E6056C7" w14:textId="77777777" w:rsidTr="000D7586">
        <w:trPr>
          <w:jc w:val="center"/>
        </w:trPr>
        <w:tc>
          <w:tcPr>
            <w:tcW w:w="3816" w:type="dxa"/>
            <w:tcBorders>
              <w:top w:val="nil"/>
              <w:left w:val="nil"/>
              <w:bottom w:val="nil"/>
              <w:right w:val="nil"/>
            </w:tcBorders>
          </w:tcPr>
          <w:p w14:paraId="2143CDF4" w14:textId="77777777" w:rsidR="007737F8" w:rsidRPr="00E9608E" w:rsidRDefault="007737F8" w:rsidP="007737F8">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4140BAB8" w14:textId="555A4830" w:rsidR="007737F8" w:rsidRPr="006C2CD0" w:rsidRDefault="007737F8" w:rsidP="007737F8">
            <w:pPr>
              <w:widowControl w:val="0"/>
              <w:autoSpaceDE w:val="0"/>
              <w:autoSpaceDN w:val="0"/>
              <w:adjustRightInd w:val="0"/>
              <w:spacing w:after="0" w:line="240" w:lineRule="auto"/>
              <w:jc w:val="center"/>
              <w:rPr>
                <w:sz w:val="22"/>
                <w:szCs w:val="22"/>
              </w:rPr>
            </w:pPr>
            <w:r>
              <w:t>(0.0367)</w:t>
            </w:r>
          </w:p>
        </w:tc>
        <w:tc>
          <w:tcPr>
            <w:tcW w:w="1656" w:type="dxa"/>
            <w:tcBorders>
              <w:top w:val="nil"/>
              <w:left w:val="nil"/>
              <w:bottom w:val="nil"/>
              <w:right w:val="nil"/>
            </w:tcBorders>
          </w:tcPr>
          <w:p w14:paraId="6B47FDB5" w14:textId="4E6DB811" w:rsidR="007737F8" w:rsidRPr="006C2CD0" w:rsidRDefault="007737F8" w:rsidP="007737F8">
            <w:pPr>
              <w:widowControl w:val="0"/>
              <w:autoSpaceDE w:val="0"/>
              <w:autoSpaceDN w:val="0"/>
              <w:adjustRightInd w:val="0"/>
              <w:spacing w:after="0" w:line="240" w:lineRule="auto"/>
              <w:jc w:val="center"/>
              <w:rPr>
                <w:sz w:val="22"/>
                <w:szCs w:val="22"/>
              </w:rPr>
            </w:pPr>
            <w:r>
              <w:t>(0.0346)</w:t>
            </w:r>
          </w:p>
        </w:tc>
        <w:tc>
          <w:tcPr>
            <w:tcW w:w="1656" w:type="dxa"/>
            <w:tcBorders>
              <w:top w:val="nil"/>
              <w:left w:val="nil"/>
              <w:bottom w:val="nil"/>
              <w:right w:val="nil"/>
            </w:tcBorders>
          </w:tcPr>
          <w:p w14:paraId="43DCF2ED" w14:textId="17B55AE2" w:rsidR="007737F8" w:rsidRPr="006C2CD0" w:rsidRDefault="007737F8" w:rsidP="007737F8">
            <w:pPr>
              <w:widowControl w:val="0"/>
              <w:autoSpaceDE w:val="0"/>
              <w:autoSpaceDN w:val="0"/>
              <w:adjustRightInd w:val="0"/>
              <w:spacing w:after="0" w:line="240" w:lineRule="auto"/>
              <w:jc w:val="center"/>
              <w:rPr>
                <w:sz w:val="22"/>
                <w:szCs w:val="22"/>
              </w:rPr>
            </w:pPr>
            <w:r>
              <w:t>(0.0205)</w:t>
            </w:r>
          </w:p>
        </w:tc>
      </w:tr>
      <w:tr w:rsidR="007737F8" w14:paraId="358A8DBE" w14:textId="77777777" w:rsidTr="000D7586">
        <w:trPr>
          <w:jc w:val="center"/>
        </w:trPr>
        <w:tc>
          <w:tcPr>
            <w:tcW w:w="3816" w:type="dxa"/>
            <w:tcBorders>
              <w:top w:val="nil"/>
              <w:left w:val="nil"/>
              <w:bottom w:val="nil"/>
              <w:right w:val="nil"/>
            </w:tcBorders>
          </w:tcPr>
          <w:p w14:paraId="20EDBA41" w14:textId="4D23430B" w:rsidR="007737F8" w:rsidRPr="00E9608E" w:rsidRDefault="007737F8" w:rsidP="007737F8">
            <w:pPr>
              <w:widowControl w:val="0"/>
              <w:autoSpaceDE w:val="0"/>
              <w:autoSpaceDN w:val="0"/>
              <w:adjustRightInd w:val="0"/>
              <w:spacing w:after="0" w:line="240" w:lineRule="auto"/>
              <w:rPr>
                <w:sz w:val="22"/>
                <w:szCs w:val="22"/>
              </w:rPr>
            </w:pPr>
            <w:r w:rsidRPr="00E9608E">
              <w:t>Unified Party Control</w:t>
            </w:r>
          </w:p>
        </w:tc>
        <w:tc>
          <w:tcPr>
            <w:tcW w:w="1656" w:type="dxa"/>
            <w:tcBorders>
              <w:top w:val="nil"/>
              <w:left w:val="nil"/>
              <w:bottom w:val="nil"/>
              <w:right w:val="nil"/>
            </w:tcBorders>
          </w:tcPr>
          <w:p w14:paraId="5B0F1EA9" w14:textId="1F2C429E" w:rsidR="007737F8" w:rsidRPr="006C2CD0" w:rsidRDefault="007737F8" w:rsidP="007737F8">
            <w:pPr>
              <w:widowControl w:val="0"/>
              <w:autoSpaceDE w:val="0"/>
              <w:autoSpaceDN w:val="0"/>
              <w:adjustRightInd w:val="0"/>
              <w:spacing w:after="0" w:line="240" w:lineRule="auto"/>
              <w:jc w:val="center"/>
              <w:rPr>
                <w:sz w:val="22"/>
                <w:szCs w:val="22"/>
              </w:rPr>
            </w:pPr>
            <w:r>
              <w:t>0.0469</w:t>
            </w:r>
          </w:p>
        </w:tc>
        <w:tc>
          <w:tcPr>
            <w:tcW w:w="1656" w:type="dxa"/>
            <w:tcBorders>
              <w:top w:val="nil"/>
              <w:left w:val="nil"/>
              <w:bottom w:val="nil"/>
              <w:right w:val="nil"/>
            </w:tcBorders>
          </w:tcPr>
          <w:p w14:paraId="6E182B6F" w14:textId="4577AE82" w:rsidR="007737F8" w:rsidRPr="006C2CD0" w:rsidRDefault="007737F8" w:rsidP="007737F8">
            <w:pPr>
              <w:widowControl w:val="0"/>
              <w:autoSpaceDE w:val="0"/>
              <w:autoSpaceDN w:val="0"/>
              <w:adjustRightInd w:val="0"/>
              <w:spacing w:after="0" w:line="240" w:lineRule="auto"/>
              <w:jc w:val="center"/>
              <w:rPr>
                <w:sz w:val="22"/>
                <w:szCs w:val="22"/>
              </w:rPr>
            </w:pPr>
            <w:r>
              <w:t>-0.0824**</w:t>
            </w:r>
          </w:p>
        </w:tc>
        <w:tc>
          <w:tcPr>
            <w:tcW w:w="1656" w:type="dxa"/>
            <w:tcBorders>
              <w:top w:val="nil"/>
              <w:left w:val="nil"/>
              <w:bottom w:val="nil"/>
              <w:right w:val="nil"/>
            </w:tcBorders>
          </w:tcPr>
          <w:p w14:paraId="30472CB3" w14:textId="7AB76C42" w:rsidR="007737F8" w:rsidRPr="006C2CD0" w:rsidRDefault="007737F8" w:rsidP="007737F8">
            <w:pPr>
              <w:widowControl w:val="0"/>
              <w:autoSpaceDE w:val="0"/>
              <w:autoSpaceDN w:val="0"/>
              <w:adjustRightInd w:val="0"/>
              <w:spacing w:after="0" w:line="240" w:lineRule="auto"/>
              <w:jc w:val="center"/>
              <w:rPr>
                <w:sz w:val="22"/>
                <w:szCs w:val="22"/>
              </w:rPr>
            </w:pPr>
            <w:r>
              <w:t>-0.0143</w:t>
            </w:r>
          </w:p>
        </w:tc>
      </w:tr>
      <w:tr w:rsidR="007737F8" w14:paraId="0706B666" w14:textId="77777777" w:rsidTr="000D7586">
        <w:trPr>
          <w:jc w:val="center"/>
        </w:trPr>
        <w:tc>
          <w:tcPr>
            <w:tcW w:w="3816" w:type="dxa"/>
            <w:tcBorders>
              <w:top w:val="nil"/>
              <w:left w:val="nil"/>
              <w:bottom w:val="nil"/>
              <w:right w:val="nil"/>
            </w:tcBorders>
          </w:tcPr>
          <w:p w14:paraId="1F6C8D23" w14:textId="77777777" w:rsidR="007737F8" w:rsidRPr="00E9608E" w:rsidRDefault="007737F8" w:rsidP="007737F8">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226F4CC3" w14:textId="304CFE6C" w:rsidR="007737F8" w:rsidRPr="006C2CD0" w:rsidRDefault="007737F8" w:rsidP="007737F8">
            <w:pPr>
              <w:widowControl w:val="0"/>
              <w:autoSpaceDE w:val="0"/>
              <w:autoSpaceDN w:val="0"/>
              <w:adjustRightInd w:val="0"/>
              <w:spacing w:after="0" w:line="240" w:lineRule="auto"/>
              <w:jc w:val="center"/>
              <w:rPr>
                <w:sz w:val="22"/>
                <w:szCs w:val="22"/>
              </w:rPr>
            </w:pPr>
            <w:r>
              <w:t>(0.0552)</w:t>
            </w:r>
          </w:p>
        </w:tc>
        <w:tc>
          <w:tcPr>
            <w:tcW w:w="1656" w:type="dxa"/>
            <w:tcBorders>
              <w:top w:val="nil"/>
              <w:left w:val="nil"/>
              <w:bottom w:val="nil"/>
              <w:right w:val="nil"/>
            </w:tcBorders>
          </w:tcPr>
          <w:p w14:paraId="22E08E89" w14:textId="095E83EA" w:rsidR="007737F8" w:rsidRPr="006C2CD0" w:rsidRDefault="007737F8" w:rsidP="007737F8">
            <w:pPr>
              <w:widowControl w:val="0"/>
              <w:autoSpaceDE w:val="0"/>
              <w:autoSpaceDN w:val="0"/>
              <w:adjustRightInd w:val="0"/>
              <w:spacing w:after="0" w:line="240" w:lineRule="auto"/>
              <w:jc w:val="center"/>
              <w:rPr>
                <w:sz w:val="22"/>
                <w:szCs w:val="22"/>
              </w:rPr>
            </w:pPr>
            <w:r>
              <w:t>(0.0353)</w:t>
            </w:r>
          </w:p>
        </w:tc>
        <w:tc>
          <w:tcPr>
            <w:tcW w:w="1656" w:type="dxa"/>
            <w:tcBorders>
              <w:top w:val="nil"/>
              <w:left w:val="nil"/>
              <w:bottom w:val="nil"/>
              <w:right w:val="nil"/>
            </w:tcBorders>
          </w:tcPr>
          <w:p w14:paraId="1BC8F25E" w14:textId="72F04508" w:rsidR="007737F8" w:rsidRPr="006C2CD0" w:rsidRDefault="007737F8" w:rsidP="007737F8">
            <w:pPr>
              <w:widowControl w:val="0"/>
              <w:autoSpaceDE w:val="0"/>
              <w:autoSpaceDN w:val="0"/>
              <w:adjustRightInd w:val="0"/>
              <w:spacing w:after="0" w:line="240" w:lineRule="auto"/>
              <w:jc w:val="center"/>
              <w:rPr>
                <w:sz w:val="22"/>
                <w:szCs w:val="22"/>
              </w:rPr>
            </w:pPr>
            <w:r>
              <w:t>(0.0253)</w:t>
            </w:r>
          </w:p>
        </w:tc>
      </w:tr>
      <w:tr w:rsidR="007737F8" w14:paraId="78016BAA" w14:textId="77777777" w:rsidTr="000D7586">
        <w:trPr>
          <w:jc w:val="center"/>
        </w:trPr>
        <w:tc>
          <w:tcPr>
            <w:tcW w:w="3816" w:type="dxa"/>
            <w:tcBorders>
              <w:top w:val="nil"/>
              <w:left w:val="nil"/>
              <w:bottom w:val="nil"/>
              <w:right w:val="nil"/>
            </w:tcBorders>
          </w:tcPr>
          <w:p w14:paraId="27902E03" w14:textId="28234F55" w:rsidR="007737F8" w:rsidRPr="00E9608E" w:rsidRDefault="007737F8" w:rsidP="007737F8">
            <w:pPr>
              <w:widowControl w:val="0"/>
              <w:autoSpaceDE w:val="0"/>
              <w:autoSpaceDN w:val="0"/>
              <w:adjustRightInd w:val="0"/>
              <w:spacing w:after="0" w:line="240" w:lineRule="auto"/>
              <w:rPr>
                <w:sz w:val="22"/>
                <w:szCs w:val="22"/>
              </w:rPr>
            </w:pPr>
            <w:r w:rsidRPr="00E9608E">
              <w:t>Income Per Capita</w:t>
            </w:r>
          </w:p>
        </w:tc>
        <w:tc>
          <w:tcPr>
            <w:tcW w:w="1656" w:type="dxa"/>
            <w:tcBorders>
              <w:top w:val="nil"/>
              <w:left w:val="nil"/>
              <w:bottom w:val="nil"/>
              <w:right w:val="nil"/>
            </w:tcBorders>
          </w:tcPr>
          <w:p w14:paraId="61420374" w14:textId="40E74184" w:rsidR="007737F8" w:rsidRPr="006C2CD0" w:rsidRDefault="007737F8" w:rsidP="007737F8">
            <w:pPr>
              <w:widowControl w:val="0"/>
              <w:autoSpaceDE w:val="0"/>
              <w:autoSpaceDN w:val="0"/>
              <w:adjustRightInd w:val="0"/>
              <w:spacing w:after="0" w:line="240" w:lineRule="auto"/>
              <w:jc w:val="center"/>
              <w:rPr>
                <w:sz w:val="22"/>
                <w:szCs w:val="22"/>
              </w:rPr>
            </w:pPr>
            <w:r>
              <w:t>-0.1043**</w:t>
            </w:r>
          </w:p>
        </w:tc>
        <w:tc>
          <w:tcPr>
            <w:tcW w:w="1656" w:type="dxa"/>
            <w:tcBorders>
              <w:top w:val="nil"/>
              <w:left w:val="nil"/>
              <w:bottom w:val="nil"/>
              <w:right w:val="nil"/>
            </w:tcBorders>
          </w:tcPr>
          <w:p w14:paraId="3C8B553A" w14:textId="7AA0A443" w:rsidR="007737F8" w:rsidRPr="006C2CD0" w:rsidRDefault="007737F8" w:rsidP="007737F8">
            <w:pPr>
              <w:widowControl w:val="0"/>
              <w:autoSpaceDE w:val="0"/>
              <w:autoSpaceDN w:val="0"/>
              <w:adjustRightInd w:val="0"/>
              <w:spacing w:after="0" w:line="240" w:lineRule="auto"/>
              <w:jc w:val="center"/>
              <w:rPr>
                <w:sz w:val="22"/>
                <w:szCs w:val="22"/>
              </w:rPr>
            </w:pPr>
            <w:r>
              <w:t>-0.0737*</w:t>
            </w:r>
          </w:p>
        </w:tc>
        <w:tc>
          <w:tcPr>
            <w:tcW w:w="1656" w:type="dxa"/>
            <w:tcBorders>
              <w:top w:val="nil"/>
              <w:left w:val="nil"/>
              <w:bottom w:val="nil"/>
              <w:right w:val="nil"/>
            </w:tcBorders>
          </w:tcPr>
          <w:p w14:paraId="485174FA" w14:textId="1CC39111" w:rsidR="007737F8" w:rsidRPr="006C2CD0" w:rsidRDefault="007737F8" w:rsidP="007737F8">
            <w:pPr>
              <w:widowControl w:val="0"/>
              <w:autoSpaceDE w:val="0"/>
              <w:autoSpaceDN w:val="0"/>
              <w:adjustRightInd w:val="0"/>
              <w:spacing w:after="0" w:line="240" w:lineRule="auto"/>
              <w:jc w:val="center"/>
              <w:rPr>
                <w:sz w:val="22"/>
                <w:szCs w:val="22"/>
              </w:rPr>
            </w:pPr>
            <w:r>
              <w:t>-0.0677**</w:t>
            </w:r>
          </w:p>
        </w:tc>
      </w:tr>
      <w:tr w:rsidR="007737F8" w14:paraId="52E85518" w14:textId="77777777" w:rsidTr="000D7586">
        <w:trPr>
          <w:jc w:val="center"/>
        </w:trPr>
        <w:tc>
          <w:tcPr>
            <w:tcW w:w="3816" w:type="dxa"/>
            <w:tcBorders>
              <w:top w:val="nil"/>
              <w:left w:val="nil"/>
              <w:bottom w:val="nil"/>
              <w:right w:val="nil"/>
            </w:tcBorders>
          </w:tcPr>
          <w:p w14:paraId="698C5895" w14:textId="77777777" w:rsidR="007737F8" w:rsidRPr="00E9608E" w:rsidRDefault="007737F8" w:rsidP="007737F8">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482F47D6" w14:textId="5DBFA501" w:rsidR="007737F8" w:rsidRPr="006C2CD0" w:rsidRDefault="007737F8" w:rsidP="007737F8">
            <w:pPr>
              <w:widowControl w:val="0"/>
              <w:autoSpaceDE w:val="0"/>
              <w:autoSpaceDN w:val="0"/>
              <w:adjustRightInd w:val="0"/>
              <w:spacing w:after="0" w:line="240" w:lineRule="auto"/>
              <w:jc w:val="center"/>
              <w:rPr>
                <w:sz w:val="22"/>
                <w:szCs w:val="22"/>
              </w:rPr>
            </w:pPr>
            <w:r>
              <w:t>(0.0424)</w:t>
            </w:r>
          </w:p>
        </w:tc>
        <w:tc>
          <w:tcPr>
            <w:tcW w:w="1656" w:type="dxa"/>
            <w:tcBorders>
              <w:top w:val="nil"/>
              <w:left w:val="nil"/>
              <w:bottom w:val="nil"/>
              <w:right w:val="nil"/>
            </w:tcBorders>
          </w:tcPr>
          <w:p w14:paraId="58E3B24F" w14:textId="13F3FD14" w:rsidR="007737F8" w:rsidRPr="006C2CD0" w:rsidRDefault="007737F8" w:rsidP="007737F8">
            <w:pPr>
              <w:widowControl w:val="0"/>
              <w:autoSpaceDE w:val="0"/>
              <w:autoSpaceDN w:val="0"/>
              <w:adjustRightInd w:val="0"/>
              <w:spacing w:after="0" w:line="240" w:lineRule="auto"/>
              <w:jc w:val="center"/>
              <w:rPr>
                <w:sz w:val="22"/>
                <w:szCs w:val="22"/>
              </w:rPr>
            </w:pPr>
            <w:r>
              <w:t>(0.0407)</w:t>
            </w:r>
          </w:p>
        </w:tc>
        <w:tc>
          <w:tcPr>
            <w:tcW w:w="1656" w:type="dxa"/>
            <w:tcBorders>
              <w:top w:val="nil"/>
              <w:left w:val="nil"/>
              <w:bottom w:val="nil"/>
              <w:right w:val="nil"/>
            </w:tcBorders>
          </w:tcPr>
          <w:p w14:paraId="323C6B2C" w14:textId="53D7575E" w:rsidR="007737F8" w:rsidRPr="006C2CD0" w:rsidRDefault="007737F8" w:rsidP="007737F8">
            <w:pPr>
              <w:widowControl w:val="0"/>
              <w:autoSpaceDE w:val="0"/>
              <w:autoSpaceDN w:val="0"/>
              <w:adjustRightInd w:val="0"/>
              <w:spacing w:after="0" w:line="240" w:lineRule="auto"/>
              <w:jc w:val="center"/>
              <w:rPr>
                <w:sz w:val="22"/>
                <w:szCs w:val="22"/>
              </w:rPr>
            </w:pPr>
            <w:r>
              <w:t>(0.0240)</w:t>
            </w:r>
          </w:p>
        </w:tc>
      </w:tr>
      <w:tr w:rsidR="007737F8" w14:paraId="5AFB81E2" w14:textId="77777777" w:rsidTr="000D7586">
        <w:trPr>
          <w:jc w:val="center"/>
        </w:trPr>
        <w:tc>
          <w:tcPr>
            <w:tcW w:w="3816" w:type="dxa"/>
            <w:tcBorders>
              <w:top w:val="nil"/>
              <w:left w:val="nil"/>
              <w:bottom w:val="nil"/>
              <w:right w:val="nil"/>
            </w:tcBorders>
          </w:tcPr>
          <w:p w14:paraId="361558F4" w14:textId="2C1459F6" w:rsidR="007737F8" w:rsidRPr="00E9608E" w:rsidRDefault="007737F8" w:rsidP="007737F8">
            <w:pPr>
              <w:widowControl w:val="0"/>
              <w:autoSpaceDE w:val="0"/>
              <w:autoSpaceDN w:val="0"/>
              <w:adjustRightInd w:val="0"/>
              <w:spacing w:after="0" w:line="240" w:lineRule="auto"/>
              <w:rPr>
                <w:sz w:val="22"/>
                <w:szCs w:val="22"/>
              </w:rPr>
            </w:pPr>
            <w:r w:rsidRPr="00E9608E">
              <w:t>Legislative Professionalism</w:t>
            </w:r>
          </w:p>
        </w:tc>
        <w:tc>
          <w:tcPr>
            <w:tcW w:w="1656" w:type="dxa"/>
            <w:tcBorders>
              <w:top w:val="nil"/>
              <w:left w:val="nil"/>
              <w:bottom w:val="nil"/>
              <w:right w:val="nil"/>
            </w:tcBorders>
          </w:tcPr>
          <w:p w14:paraId="6C025D4F" w14:textId="65E06038" w:rsidR="007737F8" w:rsidRPr="006C2CD0" w:rsidRDefault="007737F8" w:rsidP="007737F8">
            <w:pPr>
              <w:widowControl w:val="0"/>
              <w:autoSpaceDE w:val="0"/>
              <w:autoSpaceDN w:val="0"/>
              <w:adjustRightInd w:val="0"/>
              <w:spacing w:after="0" w:line="240" w:lineRule="auto"/>
              <w:jc w:val="center"/>
              <w:rPr>
                <w:sz w:val="22"/>
                <w:szCs w:val="22"/>
              </w:rPr>
            </w:pPr>
            <w:r>
              <w:t>-0.0886*</w:t>
            </w:r>
          </w:p>
        </w:tc>
        <w:tc>
          <w:tcPr>
            <w:tcW w:w="1656" w:type="dxa"/>
            <w:tcBorders>
              <w:top w:val="nil"/>
              <w:left w:val="nil"/>
              <w:bottom w:val="nil"/>
              <w:right w:val="nil"/>
            </w:tcBorders>
          </w:tcPr>
          <w:p w14:paraId="31C28348" w14:textId="5D66BE9B" w:rsidR="007737F8" w:rsidRPr="006C2CD0" w:rsidRDefault="007737F8" w:rsidP="007737F8">
            <w:pPr>
              <w:widowControl w:val="0"/>
              <w:autoSpaceDE w:val="0"/>
              <w:autoSpaceDN w:val="0"/>
              <w:adjustRightInd w:val="0"/>
              <w:spacing w:after="0" w:line="240" w:lineRule="auto"/>
              <w:jc w:val="center"/>
              <w:rPr>
                <w:sz w:val="22"/>
                <w:szCs w:val="22"/>
              </w:rPr>
            </w:pPr>
            <w:r>
              <w:t>-0.0955***</w:t>
            </w:r>
          </w:p>
        </w:tc>
        <w:tc>
          <w:tcPr>
            <w:tcW w:w="1656" w:type="dxa"/>
            <w:tcBorders>
              <w:top w:val="nil"/>
              <w:left w:val="nil"/>
              <w:bottom w:val="nil"/>
              <w:right w:val="nil"/>
            </w:tcBorders>
          </w:tcPr>
          <w:p w14:paraId="0E332412" w14:textId="474750BF" w:rsidR="007737F8" w:rsidRPr="006C2CD0" w:rsidRDefault="007737F8" w:rsidP="007737F8">
            <w:pPr>
              <w:widowControl w:val="0"/>
              <w:autoSpaceDE w:val="0"/>
              <w:autoSpaceDN w:val="0"/>
              <w:adjustRightInd w:val="0"/>
              <w:spacing w:after="0" w:line="240" w:lineRule="auto"/>
              <w:jc w:val="center"/>
              <w:rPr>
                <w:sz w:val="22"/>
                <w:szCs w:val="22"/>
              </w:rPr>
            </w:pPr>
            <w:r>
              <w:t>-0.1031***</w:t>
            </w:r>
          </w:p>
        </w:tc>
      </w:tr>
      <w:tr w:rsidR="007737F8" w14:paraId="46FD1FAA" w14:textId="77777777" w:rsidTr="000D7586">
        <w:trPr>
          <w:jc w:val="center"/>
        </w:trPr>
        <w:tc>
          <w:tcPr>
            <w:tcW w:w="3816" w:type="dxa"/>
            <w:tcBorders>
              <w:top w:val="nil"/>
              <w:left w:val="nil"/>
              <w:bottom w:val="nil"/>
              <w:right w:val="nil"/>
            </w:tcBorders>
          </w:tcPr>
          <w:p w14:paraId="7DB28F8B" w14:textId="77777777" w:rsidR="007737F8" w:rsidRPr="00E9608E" w:rsidRDefault="007737F8" w:rsidP="007737F8">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4639BC89" w14:textId="70ED67ED" w:rsidR="007737F8" w:rsidRPr="006C2CD0" w:rsidRDefault="007737F8" w:rsidP="007737F8">
            <w:pPr>
              <w:widowControl w:val="0"/>
              <w:autoSpaceDE w:val="0"/>
              <w:autoSpaceDN w:val="0"/>
              <w:adjustRightInd w:val="0"/>
              <w:spacing w:after="0" w:line="240" w:lineRule="auto"/>
              <w:jc w:val="center"/>
              <w:rPr>
                <w:sz w:val="22"/>
                <w:szCs w:val="22"/>
              </w:rPr>
            </w:pPr>
            <w:r>
              <w:t>(0.0454)</w:t>
            </w:r>
          </w:p>
        </w:tc>
        <w:tc>
          <w:tcPr>
            <w:tcW w:w="1656" w:type="dxa"/>
            <w:tcBorders>
              <w:top w:val="nil"/>
              <w:left w:val="nil"/>
              <w:bottom w:val="nil"/>
              <w:right w:val="nil"/>
            </w:tcBorders>
          </w:tcPr>
          <w:p w14:paraId="3002A31F" w14:textId="753D4BAF" w:rsidR="007737F8" w:rsidRPr="006C2CD0" w:rsidRDefault="007737F8" w:rsidP="007737F8">
            <w:pPr>
              <w:widowControl w:val="0"/>
              <w:autoSpaceDE w:val="0"/>
              <w:autoSpaceDN w:val="0"/>
              <w:adjustRightInd w:val="0"/>
              <w:spacing w:after="0" w:line="240" w:lineRule="auto"/>
              <w:jc w:val="center"/>
              <w:rPr>
                <w:sz w:val="22"/>
                <w:szCs w:val="22"/>
              </w:rPr>
            </w:pPr>
            <w:r>
              <w:t>(0.0288)</w:t>
            </w:r>
          </w:p>
        </w:tc>
        <w:tc>
          <w:tcPr>
            <w:tcW w:w="1656" w:type="dxa"/>
            <w:tcBorders>
              <w:top w:val="nil"/>
              <w:left w:val="nil"/>
              <w:bottom w:val="nil"/>
              <w:right w:val="nil"/>
            </w:tcBorders>
          </w:tcPr>
          <w:p w14:paraId="70389D72" w14:textId="0EB54CBA" w:rsidR="007737F8" w:rsidRPr="006C2CD0" w:rsidRDefault="007737F8" w:rsidP="007737F8">
            <w:pPr>
              <w:widowControl w:val="0"/>
              <w:autoSpaceDE w:val="0"/>
              <w:autoSpaceDN w:val="0"/>
              <w:adjustRightInd w:val="0"/>
              <w:spacing w:after="0" w:line="240" w:lineRule="auto"/>
              <w:jc w:val="center"/>
              <w:rPr>
                <w:sz w:val="22"/>
                <w:szCs w:val="22"/>
              </w:rPr>
            </w:pPr>
            <w:r>
              <w:t>(0.0213)</w:t>
            </w:r>
          </w:p>
        </w:tc>
      </w:tr>
      <w:tr w:rsidR="007737F8" w14:paraId="61C9D556" w14:textId="77777777" w:rsidTr="000D7586">
        <w:trPr>
          <w:jc w:val="center"/>
        </w:trPr>
        <w:tc>
          <w:tcPr>
            <w:tcW w:w="3816" w:type="dxa"/>
            <w:tcBorders>
              <w:top w:val="nil"/>
              <w:left w:val="nil"/>
              <w:bottom w:val="nil"/>
              <w:right w:val="nil"/>
            </w:tcBorders>
          </w:tcPr>
          <w:p w14:paraId="77B4A355" w14:textId="1CE9839F" w:rsidR="007737F8" w:rsidRPr="00E9608E" w:rsidRDefault="007737F8" w:rsidP="007737F8">
            <w:pPr>
              <w:widowControl w:val="0"/>
              <w:autoSpaceDE w:val="0"/>
              <w:autoSpaceDN w:val="0"/>
              <w:adjustRightInd w:val="0"/>
              <w:spacing w:after="0" w:line="240" w:lineRule="auto"/>
              <w:rPr>
                <w:sz w:val="22"/>
                <w:szCs w:val="22"/>
              </w:rPr>
            </w:pPr>
            <w:r w:rsidRPr="00E9608E">
              <w:t>Proportion Black</w:t>
            </w:r>
          </w:p>
        </w:tc>
        <w:tc>
          <w:tcPr>
            <w:tcW w:w="1656" w:type="dxa"/>
            <w:tcBorders>
              <w:top w:val="nil"/>
              <w:left w:val="nil"/>
              <w:bottom w:val="nil"/>
              <w:right w:val="nil"/>
            </w:tcBorders>
          </w:tcPr>
          <w:p w14:paraId="67EAE744" w14:textId="0713B1D8" w:rsidR="007737F8" w:rsidRPr="006C2CD0" w:rsidRDefault="007737F8" w:rsidP="007737F8">
            <w:pPr>
              <w:widowControl w:val="0"/>
              <w:autoSpaceDE w:val="0"/>
              <w:autoSpaceDN w:val="0"/>
              <w:adjustRightInd w:val="0"/>
              <w:spacing w:after="0" w:line="240" w:lineRule="auto"/>
              <w:jc w:val="center"/>
              <w:rPr>
                <w:sz w:val="22"/>
                <w:szCs w:val="22"/>
              </w:rPr>
            </w:pPr>
            <w:r>
              <w:t>-0.0077</w:t>
            </w:r>
          </w:p>
        </w:tc>
        <w:tc>
          <w:tcPr>
            <w:tcW w:w="1656" w:type="dxa"/>
            <w:tcBorders>
              <w:top w:val="nil"/>
              <w:left w:val="nil"/>
              <w:bottom w:val="nil"/>
              <w:right w:val="nil"/>
            </w:tcBorders>
          </w:tcPr>
          <w:p w14:paraId="39B7116B" w14:textId="51C640C2" w:rsidR="007737F8" w:rsidRPr="006C2CD0" w:rsidRDefault="007737F8" w:rsidP="007737F8">
            <w:pPr>
              <w:widowControl w:val="0"/>
              <w:autoSpaceDE w:val="0"/>
              <w:autoSpaceDN w:val="0"/>
              <w:adjustRightInd w:val="0"/>
              <w:spacing w:after="0" w:line="240" w:lineRule="auto"/>
              <w:jc w:val="center"/>
              <w:rPr>
                <w:sz w:val="22"/>
                <w:szCs w:val="22"/>
              </w:rPr>
            </w:pPr>
            <w:r>
              <w:t>0.0088**</w:t>
            </w:r>
          </w:p>
        </w:tc>
        <w:tc>
          <w:tcPr>
            <w:tcW w:w="1656" w:type="dxa"/>
            <w:tcBorders>
              <w:top w:val="nil"/>
              <w:left w:val="nil"/>
              <w:bottom w:val="nil"/>
              <w:right w:val="nil"/>
            </w:tcBorders>
          </w:tcPr>
          <w:p w14:paraId="3F23F70F" w14:textId="05E79E38" w:rsidR="007737F8" w:rsidRPr="006C2CD0" w:rsidRDefault="007737F8" w:rsidP="007737F8">
            <w:pPr>
              <w:widowControl w:val="0"/>
              <w:autoSpaceDE w:val="0"/>
              <w:autoSpaceDN w:val="0"/>
              <w:adjustRightInd w:val="0"/>
              <w:spacing w:after="0" w:line="240" w:lineRule="auto"/>
              <w:jc w:val="center"/>
              <w:rPr>
                <w:sz w:val="22"/>
                <w:szCs w:val="22"/>
              </w:rPr>
            </w:pPr>
            <w:r>
              <w:t>0.0080***</w:t>
            </w:r>
          </w:p>
        </w:tc>
      </w:tr>
      <w:tr w:rsidR="007737F8" w14:paraId="27053DF2" w14:textId="77777777" w:rsidTr="000D7586">
        <w:trPr>
          <w:jc w:val="center"/>
        </w:trPr>
        <w:tc>
          <w:tcPr>
            <w:tcW w:w="3816" w:type="dxa"/>
            <w:tcBorders>
              <w:top w:val="nil"/>
              <w:left w:val="nil"/>
              <w:bottom w:val="nil"/>
              <w:right w:val="nil"/>
            </w:tcBorders>
          </w:tcPr>
          <w:p w14:paraId="170A2ABF" w14:textId="77777777" w:rsidR="007737F8" w:rsidRPr="006C2CD0" w:rsidRDefault="007737F8" w:rsidP="007737F8">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7C16A771" w14:textId="19811ECA" w:rsidR="007737F8" w:rsidRPr="006C2CD0" w:rsidRDefault="007737F8" w:rsidP="007737F8">
            <w:pPr>
              <w:widowControl w:val="0"/>
              <w:autoSpaceDE w:val="0"/>
              <w:autoSpaceDN w:val="0"/>
              <w:adjustRightInd w:val="0"/>
              <w:spacing w:after="0" w:line="240" w:lineRule="auto"/>
              <w:jc w:val="center"/>
              <w:rPr>
                <w:sz w:val="22"/>
                <w:szCs w:val="22"/>
              </w:rPr>
            </w:pPr>
            <w:r>
              <w:t>(0.0156)</w:t>
            </w:r>
          </w:p>
        </w:tc>
        <w:tc>
          <w:tcPr>
            <w:tcW w:w="1656" w:type="dxa"/>
            <w:tcBorders>
              <w:top w:val="nil"/>
              <w:left w:val="nil"/>
              <w:bottom w:val="nil"/>
              <w:right w:val="nil"/>
            </w:tcBorders>
          </w:tcPr>
          <w:p w14:paraId="0C2293E3" w14:textId="1773A056" w:rsidR="007737F8" w:rsidRPr="006C2CD0" w:rsidRDefault="007737F8" w:rsidP="007737F8">
            <w:pPr>
              <w:widowControl w:val="0"/>
              <w:autoSpaceDE w:val="0"/>
              <w:autoSpaceDN w:val="0"/>
              <w:adjustRightInd w:val="0"/>
              <w:spacing w:after="0" w:line="240" w:lineRule="auto"/>
              <w:jc w:val="center"/>
              <w:rPr>
                <w:sz w:val="22"/>
                <w:szCs w:val="22"/>
              </w:rPr>
            </w:pPr>
            <w:r>
              <w:t>(0.0032)</w:t>
            </w:r>
          </w:p>
        </w:tc>
        <w:tc>
          <w:tcPr>
            <w:tcW w:w="1656" w:type="dxa"/>
            <w:tcBorders>
              <w:top w:val="nil"/>
              <w:left w:val="nil"/>
              <w:bottom w:val="nil"/>
              <w:right w:val="nil"/>
            </w:tcBorders>
          </w:tcPr>
          <w:p w14:paraId="25902C6E" w14:textId="686C6DD2" w:rsidR="007737F8" w:rsidRPr="006C2CD0" w:rsidRDefault="007737F8" w:rsidP="007737F8">
            <w:pPr>
              <w:widowControl w:val="0"/>
              <w:autoSpaceDE w:val="0"/>
              <w:autoSpaceDN w:val="0"/>
              <w:adjustRightInd w:val="0"/>
              <w:spacing w:after="0" w:line="240" w:lineRule="auto"/>
              <w:jc w:val="center"/>
              <w:rPr>
                <w:sz w:val="22"/>
                <w:szCs w:val="22"/>
              </w:rPr>
            </w:pPr>
            <w:r>
              <w:t>(0.0024)</w:t>
            </w:r>
          </w:p>
        </w:tc>
      </w:tr>
      <w:tr w:rsidR="007737F8" w14:paraId="19D5F996" w14:textId="77777777" w:rsidTr="000D7586">
        <w:trPr>
          <w:jc w:val="center"/>
        </w:trPr>
        <w:tc>
          <w:tcPr>
            <w:tcW w:w="3816" w:type="dxa"/>
            <w:tcBorders>
              <w:top w:val="nil"/>
              <w:left w:val="nil"/>
              <w:bottom w:val="nil"/>
              <w:right w:val="nil"/>
            </w:tcBorders>
          </w:tcPr>
          <w:p w14:paraId="0F26396B" w14:textId="6F8CADA2" w:rsidR="007737F8" w:rsidRPr="006C2CD0" w:rsidRDefault="007737F8" w:rsidP="007737F8">
            <w:pPr>
              <w:widowControl w:val="0"/>
              <w:autoSpaceDE w:val="0"/>
              <w:autoSpaceDN w:val="0"/>
              <w:adjustRightInd w:val="0"/>
              <w:spacing w:after="0" w:line="240" w:lineRule="auto"/>
              <w:rPr>
                <w:sz w:val="22"/>
                <w:szCs w:val="22"/>
              </w:rPr>
            </w:pPr>
            <w:r>
              <w:t>Percent High School</w:t>
            </w:r>
          </w:p>
        </w:tc>
        <w:tc>
          <w:tcPr>
            <w:tcW w:w="1656" w:type="dxa"/>
            <w:tcBorders>
              <w:top w:val="nil"/>
              <w:left w:val="nil"/>
              <w:bottom w:val="nil"/>
              <w:right w:val="nil"/>
            </w:tcBorders>
          </w:tcPr>
          <w:p w14:paraId="487582CE" w14:textId="04000E75" w:rsidR="007737F8" w:rsidRPr="006C2CD0" w:rsidRDefault="007737F8" w:rsidP="007737F8">
            <w:pPr>
              <w:widowControl w:val="0"/>
              <w:autoSpaceDE w:val="0"/>
              <w:autoSpaceDN w:val="0"/>
              <w:adjustRightInd w:val="0"/>
              <w:spacing w:after="0" w:line="240" w:lineRule="auto"/>
              <w:jc w:val="center"/>
              <w:rPr>
                <w:sz w:val="22"/>
                <w:szCs w:val="22"/>
              </w:rPr>
            </w:pPr>
            <w:r>
              <w:t>0.0116</w:t>
            </w:r>
          </w:p>
        </w:tc>
        <w:tc>
          <w:tcPr>
            <w:tcW w:w="1656" w:type="dxa"/>
            <w:tcBorders>
              <w:top w:val="nil"/>
              <w:left w:val="nil"/>
              <w:bottom w:val="nil"/>
              <w:right w:val="nil"/>
            </w:tcBorders>
          </w:tcPr>
          <w:p w14:paraId="5F27F6DF" w14:textId="13568715" w:rsidR="007737F8" w:rsidRPr="006C2CD0" w:rsidRDefault="007737F8" w:rsidP="007737F8">
            <w:pPr>
              <w:widowControl w:val="0"/>
              <w:autoSpaceDE w:val="0"/>
              <w:autoSpaceDN w:val="0"/>
              <w:adjustRightInd w:val="0"/>
              <w:spacing w:after="0" w:line="240" w:lineRule="auto"/>
              <w:jc w:val="center"/>
              <w:rPr>
                <w:sz w:val="22"/>
                <w:szCs w:val="22"/>
              </w:rPr>
            </w:pPr>
            <w:r>
              <w:t>0.0222***</w:t>
            </w:r>
          </w:p>
        </w:tc>
        <w:tc>
          <w:tcPr>
            <w:tcW w:w="1656" w:type="dxa"/>
            <w:tcBorders>
              <w:top w:val="nil"/>
              <w:left w:val="nil"/>
              <w:bottom w:val="nil"/>
              <w:right w:val="nil"/>
            </w:tcBorders>
          </w:tcPr>
          <w:p w14:paraId="1B36A148" w14:textId="16F7FB23" w:rsidR="007737F8" w:rsidRPr="006C2CD0" w:rsidRDefault="007737F8" w:rsidP="007737F8">
            <w:pPr>
              <w:widowControl w:val="0"/>
              <w:autoSpaceDE w:val="0"/>
              <w:autoSpaceDN w:val="0"/>
              <w:adjustRightInd w:val="0"/>
              <w:spacing w:after="0" w:line="240" w:lineRule="auto"/>
              <w:jc w:val="center"/>
              <w:rPr>
                <w:sz w:val="22"/>
                <w:szCs w:val="22"/>
              </w:rPr>
            </w:pPr>
            <w:r>
              <w:t>0.0173***</w:t>
            </w:r>
          </w:p>
        </w:tc>
      </w:tr>
      <w:tr w:rsidR="007737F8" w14:paraId="73084C4A" w14:textId="77777777" w:rsidTr="000D7586">
        <w:trPr>
          <w:jc w:val="center"/>
        </w:trPr>
        <w:tc>
          <w:tcPr>
            <w:tcW w:w="3816" w:type="dxa"/>
            <w:tcBorders>
              <w:top w:val="nil"/>
              <w:left w:val="nil"/>
              <w:bottom w:val="nil"/>
              <w:right w:val="nil"/>
            </w:tcBorders>
          </w:tcPr>
          <w:p w14:paraId="40D4AC56" w14:textId="77777777" w:rsidR="007737F8" w:rsidRPr="006C2CD0" w:rsidRDefault="007737F8" w:rsidP="007737F8">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39E4259A" w14:textId="0036FC0F" w:rsidR="007737F8" w:rsidRPr="006C2CD0" w:rsidRDefault="007737F8" w:rsidP="007737F8">
            <w:pPr>
              <w:widowControl w:val="0"/>
              <w:autoSpaceDE w:val="0"/>
              <w:autoSpaceDN w:val="0"/>
              <w:adjustRightInd w:val="0"/>
              <w:spacing w:after="0" w:line="240" w:lineRule="auto"/>
              <w:jc w:val="center"/>
              <w:rPr>
                <w:sz w:val="22"/>
                <w:szCs w:val="22"/>
              </w:rPr>
            </w:pPr>
            <w:r>
              <w:t>(0.0109)</w:t>
            </w:r>
          </w:p>
        </w:tc>
        <w:tc>
          <w:tcPr>
            <w:tcW w:w="1656" w:type="dxa"/>
            <w:tcBorders>
              <w:top w:val="nil"/>
              <w:left w:val="nil"/>
              <w:bottom w:val="nil"/>
              <w:right w:val="nil"/>
            </w:tcBorders>
          </w:tcPr>
          <w:p w14:paraId="00834DEE" w14:textId="6D57EC10" w:rsidR="007737F8" w:rsidRPr="006C2CD0" w:rsidRDefault="007737F8" w:rsidP="007737F8">
            <w:pPr>
              <w:widowControl w:val="0"/>
              <w:autoSpaceDE w:val="0"/>
              <w:autoSpaceDN w:val="0"/>
              <w:adjustRightInd w:val="0"/>
              <w:spacing w:after="0" w:line="240" w:lineRule="auto"/>
              <w:jc w:val="center"/>
              <w:rPr>
                <w:sz w:val="22"/>
                <w:szCs w:val="22"/>
              </w:rPr>
            </w:pPr>
            <w:r>
              <w:t>(0.0048)</w:t>
            </w:r>
          </w:p>
        </w:tc>
        <w:tc>
          <w:tcPr>
            <w:tcW w:w="1656" w:type="dxa"/>
            <w:tcBorders>
              <w:top w:val="nil"/>
              <w:left w:val="nil"/>
              <w:bottom w:val="nil"/>
              <w:right w:val="nil"/>
            </w:tcBorders>
          </w:tcPr>
          <w:p w14:paraId="485153CA" w14:textId="0F784BEE" w:rsidR="007737F8" w:rsidRPr="006C2CD0" w:rsidRDefault="007737F8" w:rsidP="007737F8">
            <w:pPr>
              <w:widowControl w:val="0"/>
              <w:autoSpaceDE w:val="0"/>
              <w:autoSpaceDN w:val="0"/>
              <w:adjustRightInd w:val="0"/>
              <w:spacing w:after="0" w:line="240" w:lineRule="auto"/>
              <w:jc w:val="center"/>
              <w:rPr>
                <w:sz w:val="22"/>
                <w:szCs w:val="22"/>
              </w:rPr>
            </w:pPr>
            <w:r>
              <w:t>(0.0035)</w:t>
            </w:r>
          </w:p>
        </w:tc>
      </w:tr>
      <w:tr w:rsidR="007737F8" w14:paraId="01D0B6A8" w14:textId="77777777" w:rsidTr="000D7586">
        <w:trPr>
          <w:jc w:val="center"/>
        </w:trPr>
        <w:tc>
          <w:tcPr>
            <w:tcW w:w="3816" w:type="dxa"/>
            <w:tcBorders>
              <w:top w:val="nil"/>
              <w:left w:val="nil"/>
              <w:bottom w:val="nil"/>
              <w:right w:val="nil"/>
            </w:tcBorders>
          </w:tcPr>
          <w:p w14:paraId="2063AB5F" w14:textId="11FB2507" w:rsidR="007737F8" w:rsidRPr="006C2CD0" w:rsidRDefault="007737F8" w:rsidP="007737F8">
            <w:pPr>
              <w:widowControl w:val="0"/>
              <w:autoSpaceDE w:val="0"/>
              <w:autoSpaceDN w:val="0"/>
              <w:adjustRightInd w:val="0"/>
              <w:spacing w:after="0" w:line="240" w:lineRule="auto"/>
              <w:rPr>
                <w:sz w:val="22"/>
                <w:szCs w:val="22"/>
              </w:rPr>
            </w:pPr>
            <w:r>
              <w:t>Duration</w:t>
            </w:r>
          </w:p>
        </w:tc>
        <w:tc>
          <w:tcPr>
            <w:tcW w:w="1656" w:type="dxa"/>
            <w:tcBorders>
              <w:top w:val="nil"/>
              <w:left w:val="nil"/>
              <w:bottom w:val="nil"/>
              <w:right w:val="nil"/>
            </w:tcBorders>
          </w:tcPr>
          <w:p w14:paraId="2AB211FC" w14:textId="1F71A2F2" w:rsidR="007737F8" w:rsidRPr="006C2CD0" w:rsidRDefault="007737F8" w:rsidP="007737F8">
            <w:pPr>
              <w:widowControl w:val="0"/>
              <w:autoSpaceDE w:val="0"/>
              <w:autoSpaceDN w:val="0"/>
              <w:adjustRightInd w:val="0"/>
              <w:spacing w:after="0" w:line="240" w:lineRule="auto"/>
              <w:jc w:val="center"/>
              <w:rPr>
                <w:sz w:val="22"/>
                <w:szCs w:val="22"/>
              </w:rPr>
            </w:pPr>
            <w:r>
              <w:t>-0.0227</w:t>
            </w:r>
          </w:p>
        </w:tc>
        <w:tc>
          <w:tcPr>
            <w:tcW w:w="1656" w:type="dxa"/>
            <w:tcBorders>
              <w:top w:val="nil"/>
              <w:left w:val="nil"/>
              <w:bottom w:val="nil"/>
              <w:right w:val="nil"/>
            </w:tcBorders>
          </w:tcPr>
          <w:p w14:paraId="0C68CC6A" w14:textId="3402B3C2" w:rsidR="007737F8" w:rsidRPr="006C2CD0" w:rsidRDefault="007737F8" w:rsidP="007737F8">
            <w:pPr>
              <w:widowControl w:val="0"/>
              <w:autoSpaceDE w:val="0"/>
              <w:autoSpaceDN w:val="0"/>
              <w:adjustRightInd w:val="0"/>
              <w:spacing w:after="0" w:line="240" w:lineRule="auto"/>
              <w:jc w:val="center"/>
              <w:rPr>
                <w:sz w:val="22"/>
                <w:szCs w:val="22"/>
              </w:rPr>
            </w:pPr>
            <w:r>
              <w:t>-0.1954***</w:t>
            </w:r>
          </w:p>
        </w:tc>
        <w:tc>
          <w:tcPr>
            <w:tcW w:w="1656" w:type="dxa"/>
            <w:tcBorders>
              <w:top w:val="nil"/>
              <w:left w:val="nil"/>
              <w:bottom w:val="nil"/>
              <w:right w:val="nil"/>
            </w:tcBorders>
          </w:tcPr>
          <w:p w14:paraId="2B76A625" w14:textId="1378FDE9" w:rsidR="007737F8" w:rsidRPr="006C2CD0" w:rsidRDefault="007737F8" w:rsidP="007737F8">
            <w:pPr>
              <w:widowControl w:val="0"/>
              <w:autoSpaceDE w:val="0"/>
              <w:autoSpaceDN w:val="0"/>
              <w:adjustRightInd w:val="0"/>
              <w:spacing w:after="0" w:line="240" w:lineRule="auto"/>
              <w:jc w:val="center"/>
              <w:rPr>
                <w:sz w:val="22"/>
                <w:szCs w:val="22"/>
              </w:rPr>
            </w:pPr>
            <w:r>
              <w:t>-0.0417**</w:t>
            </w:r>
          </w:p>
        </w:tc>
      </w:tr>
      <w:tr w:rsidR="007737F8" w14:paraId="6A958DE2" w14:textId="77777777" w:rsidTr="000D7586">
        <w:trPr>
          <w:jc w:val="center"/>
        </w:trPr>
        <w:tc>
          <w:tcPr>
            <w:tcW w:w="3816" w:type="dxa"/>
            <w:tcBorders>
              <w:top w:val="nil"/>
              <w:left w:val="nil"/>
              <w:bottom w:val="nil"/>
              <w:right w:val="nil"/>
            </w:tcBorders>
          </w:tcPr>
          <w:p w14:paraId="3EFBFD02" w14:textId="77777777" w:rsidR="007737F8" w:rsidRPr="006C2CD0" w:rsidRDefault="007737F8" w:rsidP="007737F8">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6426157C" w14:textId="6F6DE157" w:rsidR="007737F8" w:rsidRPr="006C2CD0" w:rsidRDefault="007737F8" w:rsidP="007737F8">
            <w:pPr>
              <w:widowControl w:val="0"/>
              <w:autoSpaceDE w:val="0"/>
              <w:autoSpaceDN w:val="0"/>
              <w:adjustRightInd w:val="0"/>
              <w:spacing w:after="0" w:line="240" w:lineRule="auto"/>
              <w:jc w:val="center"/>
              <w:rPr>
                <w:sz w:val="22"/>
                <w:szCs w:val="22"/>
              </w:rPr>
            </w:pPr>
            <w:r>
              <w:t>(0.0563)</w:t>
            </w:r>
          </w:p>
        </w:tc>
        <w:tc>
          <w:tcPr>
            <w:tcW w:w="1656" w:type="dxa"/>
            <w:tcBorders>
              <w:top w:val="nil"/>
              <w:left w:val="nil"/>
              <w:bottom w:val="nil"/>
              <w:right w:val="nil"/>
            </w:tcBorders>
          </w:tcPr>
          <w:p w14:paraId="24132C23" w14:textId="4BE10A61" w:rsidR="007737F8" w:rsidRPr="006C2CD0" w:rsidRDefault="007737F8" w:rsidP="007737F8">
            <w:pPr>
              <w:widowControl w:val="0"/>
              <w:autoSpaceDE w:val="0"/>
              <w:autoSpaceDN w:val="0"/>
              <w:adjustRightInd w:val="0"/>
              <w:spacing w:after="0" w:line="240" w:lineRule="auto"/>
              <w:jc w:val="center"/>
              <w:rPr>
                <w:sz w:val="22"/>
                <w:szCs w:val="22"/>
              </w:rPr>
            </w:pPr>
            <w:r>
              <w:t>(0.0305)</w:t>
            </w:r>
          </w:p>
        </w:tc>
        <w:tc>
          <w:tcPr>
            <w:tcW w:w="1656" w:type="dxa"/>
            <w:tcBorders>
              <w:top w:val="nil"/>
              <w:left w:val="nil"/>
              <w:bottom w:val="nil"/>
              <w:right w:val="nil"/>
            </w:tcBorders>
          </w:tcPr>
          <w:p w14:paraId="0E90F862" w14:textId="30F31705" w:rsidR="007737F8" w:rsidRPr="006C2CD0" w:rsidRDefault="007737F8" w:rsidP="007737F8">
            <w:pPr>
              <w:widowControl w:val="0"/>
              <w:autoSpaceDE w:val="0"/>
              <w:autoSpaceDN w:val="0"/>
              <w:adjustRightInd w:val="0"/>
              <w:spacing w:after="0" w:line="240" w:lineRule="auto"/>
              <w:jc w:val="center"/>
              <w:rPr>
                <w:sz w:val="22"/>
                <w:szCs w:val="22"/>
              </w:rPr>
            </w:pPr>
            <w:r>
              <w:t>(0.0138)</w:t>
            </w:r>
          </w:p>
        </w:tc>
      </w:tr>
      <w:tr w:rsidR="007737F8" w14:paraId="07FD300A" w14:textId="77777777" w:rsidTr="000D7586">
        <w:trPr>
          <w:jc w:val="center"/>
        </w:trPr>
        <w:tc>
          <w:tcPr>
            <w:tcW w:w="3816" w:type="dxa"/>
            <w:tcBorders>
              <w:top w:val="nil"/>
              <w:left w:val="nil"/>
              <w:bottom w:val="nil"/>
              <w:right w:val="nil"/>
            </w:tcBorders>
          </w:tcPr>
          <w:p w14:paraId="0670FF7B" w14:textId="00C1E3F2" w:rsidR="007737F8" w:rsidRPr="006C2CD0" w:rsidRDefault="007737F8" w:rsidP="007737F8">
            <w:pPr>
              <w:widowControl w:val="0"/>
              <w:autoSpaceDE w:val="0"/>
              <w:autoSpaceDN w:val="0"/>
              <w:adjustRightInd w:val="0"/>
              <w:spacing w:after="0" w:line="240" w:lineRule="auto"/>
              <w:rPr>
                <w:sz w:val="22"/>
                <w:szCs w:val="22"/>
              </w:rPr>
            </w:pPr>
            <w:r>
              <w:t>Duration Squared</w:t>
            </w:r>
          </w:p>
        </w:tc>
        <w:tc>
          <w:tcPr>
            <w:tcW w:w="1656" w:type="dxa"/>
            <w:tcBorders>
              <w:top w:val="nil"/>
              <w:left w:val="nil"/>
              <w:bottom w:val="nil"/>
              <w:right w:val="nil"/>
            </w:tcBorders>
          </w:tcPr>
          <w:p w14:paraId="3805C622" w14:textId="58119EA4" w:rsidR="007737F8" w:rsidRPr="006C2CD0" w:rsidRDefault="007737F8" w:rsidP="007737F8">
            <w:pPr>
              <w:widowControl w:val="0"/>
              <w:autoSpaceDE w:val="0"/>
              <w:autoSpaceDN w:val="0"/>
              <w:adjustRightInd w:val="0"/>
              <w:spacing w:after="0" w:line="240" w:lineRule="auto"/>
              <w:jc w:val="center"/>
              <w:rPr>
                <w:sz w:val="22"/>
                <w:szCs w:val="22"/>
              </w:rPr>
            </w:pPr>
            <w:r>
              <w:t>-0.0027</w:t>
            </w:r>
          </w:p>
        </w:tc>
        <w:tc>
          <w:tcPr>
            <w:tcW w:w="1656" w:type="dxa"/>
            <w:tcBorders>
              <w:top w:val="nil"/>
              <w:left w:val="nil"/>
              <w:bottom w:val="nil"/>
              <w:right w:val="nil"/>
            </w:tcBorders>
          </w:tcPr>
          <w:p w14:paraId="508EE5E2" w14:textId="11C435F9" w:rsidR="007737F8" w:rsidRPr="006C2CD0" w:rsidRDefault="007737F8" w:rsidP="007737F8">
            <w:pPr>
              <w:widowControl w:val="0"/>
              <w:autoSpaceDE w:val="0"/>
              <w:autoSpaceDN w:val="0"/>
              <w:adjustRightInd w:val="0"/>
              <w:spacing w:after="0" w:line="240" w:lineRule="auto"/>
              <w:jc w:val="center"/>
              <w:rPr>
                <w:sz w:val="22"/>
                <w:szCs w:val="22"/>
              </w:rPr>
            </w:pPr>
            <w:r>
              <w:t>0.0292***</w:t>
            </w:r>
          </w:p>
        </w:tc>
        <w:tc>
          <w:tcPr>
            <w:tcW w:w="1656" w:type="dxa"/>
            <w:tcBorders>
              <w:top w:val="nil"/>
              <w:left w:val="nil"/>
              <w:bottom w:val="nil"/>
              <w:right w:val="nil"/>
            </w:tcBorders>
          </w:tcPr>
          <w:p w14:paraId="1515FFA6" w14:textId="42D10CED" w:rsidR="007737F8" w:rsidRPr="006C2CD0" w:rsidRDefault="007737F8" w:rsidP="007737F8">
            <w:pPr>
              <w:widowControl w:val="0"/>
              <w:autoSpaceDE w:val="0"/>
              <w:autoSpaceDN w:val="0"/>
              <w:adjustRightInd w:val="0"/>
              <w:spacing w:after="0" w:line="240" w:lineRule="auto"/>
              <w:jc w:val="center"/>
              <w:rPr>
                <w:sz w:val="22"/>
                <w:szCs w:val="22"/>
              </w:rPr>
            </w:pPr>
            <w:r>
              <w:t>0.0016</w:t>
            </w:r>
          </w:p>
        </w:tc>
      </w:tr>
      <w:tr w:rsidR="007737F8" w14:paraId="46FF0695" w14:textId="77777777" w:rsidTr="000D7586">
        <w:trPr>
          <w:jc w:val="center"/>
        </w:trPr>
        <w:tc>
          <w:tcPr>
            <w:tcW w:w="3816" w:type="dxa"/>
            <w:tcBorders>
              <w:top w:val="nil"/>
              <w:left w:val="nil"/>
              <w:bottom w:val="nil"/>
              <w:right w:val="nil"/>
            </w:tcBorders>
          </w:tcPr>
          <w:p w14:paraId="1728B3F8" w14:textId="77777777" w:rsidR="007737F8" w:rsidRPr="006C2CD0" w:rsidRDefault="007737F8" w:rsidP="007737F8">
            <w:pPr>
              <w:widowControl w:val="0"/>
              <w:autoSpaceDE w:val="0"/>
              <w:autoSpaceDN w:val="0"/>
              <w:adjustRightInd w:val="0"/>
              <w:spacing w:after="0" w:line="240" w:lineRule="auto"/>
              <w:rPr>
                <w:sz w:val="22"/>
                <w:szCs w:val="22"/>
              </w:rPr>
            </w:pPr>
          </w:p>
        </w:tc>
        <w:tc>
          <w:tcPr>
            <w:tcW w:w="1656" w:type="dxa"/>
            <w:tcBorders>
              <w:top w:val="nil"/>
              <w:left w:val="nil"/>
              <w:bottom w:val="nil"/>
              <w:right w:val="nil"/>
            </w:tcBorders>
          </w:tcPr>
          <w:p w14:paraId="0F8CFDC0" w14:textId="69C87B45" w:rsidR="007737F8" w:rsidRPr="006C2CD0" w:rsidRDefault="007737F8" w:rsidP="007737F8">
            <w:pPr>
              <w:widowControl w:val="0"/>
              <w:autoSpaceDE w:val="0"/>
              <w:autoSpaceDN w:val="0"/>
              <w:adjustRightInd w:val="0"/>
              <w:spacing w:after="0" w:line="240" w:lineRule="auto"/>
              <w:jc w:val="center"/>
              <w:rPr>
                <w:sz w:val="22"/>
                <w:szCs w:val="22"/>
              </w:rPr>
            </w:pPr>
            <w:r>
              <w:t>(0.0112)</w:t>
            </w:r>
          </w:p>
        </w:tc>
        <w:tc>
          <w:tcPr>
            <w:tcW w:w="1656" w:type="dxa"/>
            <w:tcBorders>
              <w:top w:val="nil"/>
              <w:left w:val="nil"/>
              <w:bottom w:val="nil"/>
              <w:right w:val="nil"/>
            </w:tcBorders>
          </w:tcPr>
          <w:p w14:paraId="2EEF5B42" w14:textId="3EC7A158" w:rsidR="007737F8" w:rsidRPr="006C2CD0" w:rsidRDefault="007737F8" w:rsidP="007737F8">
            <w:pPr>
              <w:widowControl w:val="0"/>
              <w:autoSpaceDE w:val="0"/>
              <w:autoSpaceDN w:val="0"/>
              <w:adjustRightInd w:val="0"/>
              <w:spacing w:after="0" w:line="240" w:lineRule="auto"/>
              <w:jc w:val="center"/>
              <w:rPr>
                <w:sz w:val="22"/>
                <w:szCs w:val="22"/>
              </w:rPr>
            </w:pPr>
            <w:r>
              <w:t>(0.0045)</w:t>
            </w:r>
          </w:p>
        </w:tc>
        <w:tc>
          <w:tcPr>
            <w:tcW w:w="1656" w:type="dxa"/>
            <w:tcBorders>
              <w:top w:val="nil"/>
              <w:left w:val="nil"/>
              <w:bottom w:val="nil"/>
              <w:right w:val="nil"/>
            </w:tcBorders>
          </w:tcPr>
          <w:p w14:paraId="2F8CC8C5" w14:textId="1B669253" w:rsidR="007737F8" w:rsidRPr="006C2CD0" w:rsidRDefault="007737F8" w:rsidP="007737F8">
            <w:pPr>
              <w:widowControl w:val="0"/>
              <w:autoSpaceDE w:val="0"/>
              <w:autoSpaceDN w:val="0"/>
              <w:adjustRightInd w:val="0"/>
              <w:spacing w:after="0" w:line="240" w:lineRule="auto"/>
              <w:jc w:val="center"/>
              <w:rPr>
                <w:sz w:val="22"/>
                <w:szCs w:val="22"/>
              </w:rPr>
            </w:pPr>
            <w:r>
              <w:t>(0.0012)</w:t>
            </w:r>
          </w:p>
        </w:tc>
      </w:tr>
      <w:tr w:rsidR="007737F8" w14:paraId="35315051" w14:textId="77777777" w:rsidTr="000D7586">
        <w:trPr>
          <w:jc w:val="center"/>
        </w:trPr>
        <w:tc>
          <w:tcPr>
            <w:tcW w:w="3816" w:type="dxa"/>
            <w:tcBorders>
              <w:top w:val="nil"/>
              <w:left w:val="nil"/>
              <w:bottom w:val="nil"/>
              <w:right w:val="nil"/>
            </w:tcBorders>
          </w:tcPr>
          <w:p w14:paraId="40AC53E0" w14:textId="5AB7008E" w:rsidR="007737F8" w:rsidRPr="006C2CD0" w:rsidRDefault="007737F8" w:rsidP="007737F8">
            <w:pPr>
              <w:widowControl w:val="0"/>
              <w:autoSpaceDE w:val="0"/>
              <w:autoSpaceDN w:val="0"/>
              <w:adjustRightInd w:val="0"/>
              <w:spacing w:after="0" w:line="240" w:lineRule="auto"/>
              <w:rPr>
                <w:sz w:val="22"/>
                <w:szCs w:val="22"/>
              </w:rPr>
            </w:pPr>
            <w:r>
              <w:t>Duration Cubed</w:t>
            </w:r>
          </w:p>
        </w:tc>
        <w:tc>
          <w:tcPr>
            <w:tcW w:w="1656" w:type="dxa"/>
            <w:tcBorders>
              <w:top w:val="nil"/>
              <w:left w:val="nil"/>
              <w:bottom w:val="nil"/>
              <w:right w:val="nil"/>
            </w:tcBorders>
          </w:tcPr>
          <w:p w14:paraId="2E1A98BC" w14:textId="5D20985F" w:rsidR="007737F8" w:rsidRPr="006C2CD0" w:rsidRDefault="007737F8" w:rsidP="007737F8">
            <w:pPr>
              <w:widowControl w:val="0"/>
              <w:autoSpaceDE w:val="0"/>
              <w:autoSpaceDN w:val="0"/>
              <w:adjustRightInd w:val="0"/>
              <w:spacing w:after="0" w:line="240" w:lineRule="auto"/>
              <w:jc w:val="center"/>
              <w:rPr>
                <w:sz w:val="22"/>
                <w:szCs w:val="22"/>
              </w:rPr>
            </w:pPr>
            <w:r>
              <w:t>0.0001</w:t>
            </w:r>
          </w:p>
        </w:tc>
        <w:tc>
          <w:tcPr>
            <w:tcW w:w="1656" w:type="dxa"/>
            <w:tcBorders>
              <w:top w:val="nil"/>
              <w:left w:val="nil"/>
              <w:bottom w:val="nil"/>
              <w:right w:val="nil"/>
            </w:tcBorders>
          </w:tcPr>
          <w:p w14:paraId="4D622E67" w14:textId="109FDD63" w:rsidR="007737F8" w:rsidRPr="006C2CD0" w:rsidRDefault="007737F8" w:rsidP="007737F8">
            <w:pPr>
              <w:widowControl w:val="0"/>
              <w:autoSpaceDE w:val="0"/>
              <w:autoSpaceDN w:val="0"/>
              <w:adjustRightInd w:val="0"/>
              <w:spacing w:after="0" w:line="240" w:lineRule="auto"/>
              <w:jc w:val="center"/>
              <w:rPr>
                <w:sz w:val="22"/>
                <w:szCs w:val="22"/>
              </w:rPr>
            </w:pPr>
            <w:r>
              <w:t>-0.0012***</w:t>
            </w:r>
          </w:p>
        </w:tc>
        <w:tc>
          <w:tcPr>
            <w:tcW w:w="1656" w:type="dxa"/>
            <w:tcBorders>
              <w:top w:val="nil"/>
              <w:left w:val="nil"/>
              <w:bottom w:val="nil"/>
              <w:right w:val="nil"/>
            </w:tcBorders>
          </w:tcPr>
          <w:p w14:paraId="4A9AF18B" w14:textId="0235FE50" w:rsidR="007737F8" w:rsidRPr="006C2CD0" w:rsidRDefault="007737F8" w:rsidP="007737F8">
            <w:pPr>
              <w:widowControl w:val="0"/>
              <w:autoSpaceDE w:val="0"/>
              <w:autoSpaceDN w:val="0"/>
              <w:adjustRightInd w:val="0"/>
              <w:spacing w:after="0" w:line="240" w:lineRule="auto"/>
              <w:jc w:val="center"/>
              <w:rPr>
                <w:sz w:val="22"/>
                <w:szCs w:val="22"/>
              </w:rPr>
            </w:pPr>
            <w:r>
              <w:t>-0.0000</w:t>
            </w:r>
          </w:p>
        </w:tc>
      </w:tr>
      <w:tr w:rsidR="007737F8" w14:paraId="1DD0506E" w14:textId="77777777" w:rsidTr="0002435E">
        <w:trPr>
          <w:jc w:val="center"/>
        </w:trPr>
        <w:tc>
          <w:tcPr>
            <w:tcW w:w="3816" w:type="dxa"/>
            <w:tcBorders>
              <w:top w:val="nil"/>
              <w:left w:val="nil"/>
              <w:right w:val="nil"/>
            </w:tcBorders>
          </w:tcPr>
          <w:p w14:paraId="3FE2FFB4" w14:textId="77777777" w:rsidR="007737F8" w:rsidRPr="006C2CD0" w:rsidRDefault="007737F8" w:rsidP="007737F8">
            <w:pPr>
              <w:widowControl w:val="0"/>
              <w:autoSpaceDE w:val="0"/>
              <w:autoSpaceDN w:val="0"/>
              <w:adjustRightInd w:val="0"/>
              <w:spacing w:after="0" w:line="240" w:lineRule="auto"/>
              <w:rPr>
                <w:sz w:val="22"/>
                <w:szCs w:val="22"/>
              </w:rPr>
            </w:pPr>
          </w:p>
        </w:tc>
        <w:tc>
          <w:tcPr>
            <w:tcW w:w="1656" w:type="dxa"/>
            <w:tcBorders>
              <w:top w:val="nil"/>
              <w:left w:val="nil"/>
              <w:right w:val="nil"/>
            </w:tcBorders>
          </w:tcPr>
          <w:p w14:paraId="027872C9" w14:textId="3646B347" w:rsidR="007737F8" w:rsidRPr="006C2CD0" w:rsidRDefault="007737F8" w:rsidP="007737F8">
            <w:pPr>
              <w:widowControl w:val="0"/>
              <w:autoSpaceDE w:val="0"/>
              <w:autoSpaceDN w:val="0"/>
              <w:adjustRightInd w:val="0"/>
              <w:spacing w:after="0" w:line="240" w:lineRule="auto"/>
              <w:jc w:val="center"/>
              <w:rPr>
                <w:sz w:val="22"/>
                <w:szCs w:val="22"/>
              </w:rPr>
            </w:pPr>
            <w:r>
              <w:t>(0.0006)</w:t>
            </w:r>
          </w:p>
        </w:tc>
        <w:tc>
          <w:tcPr>
            <w:tcW w:w="1656" w:type="dxa"/>
            <w:tcBorders>
              <w:top w:val="nil"/>
              <w:left w:val="nil"/>
              <w:right w:val="nil"/>
            </w:tcBorders>
          </w:tcPr>
          <w:p w14:paraId="61D84D0D" w14:textId="489232CE" w:rsidR="007737F8" w:rsidRPr="006C2CD0" w:rsidRDefault="007737F8" w:rsidP="007737F8">
            <w:pPr>
              <w:widowControl w:val="0"/>
              <w:autoSpaceDE w:val="0"/>
              <w:autoSpaceDN w:val="0"/>
              <w:adjustRightInd w:val="0"/>
              <w:spacing w:after="0" w:line="240" w:lineRule="auto"/>
              <w:jc w:val="center"/>
              <w:rPr>
                <w:sz w:val="22"/>
                <w:szCs w:val="22"/>
              </w:rPr>
            </w:pPr>
            <w:r>
              <w:t>(0.0002)</w:t>
            </w:r>
          </w:p>
        </w:tc>
        <w:tc>
          <w:tcPr>
            <w:tcW w:w="1656" w:type="dxa"/>
            <w:tcBorders>
              <w:top w:val="nil"/>
              <w:left w:val="nil"/>
              <w:right w:val="nil"/>
            </w:tcBorders>
          </w:tcPr>
          <w:p w14:paraId="4210E93B" w14:textId="2DCFA6BF" w:rsidR="007737F8" w:rsidRPr="006C2CD0" w:rsidRDefault="007737F8" w:rsidP="007737F8">
            <w:pPr>
              <w:widowControl w:val="0"/>
              <w:autoSpaceDE w:val="0"/>
              <w:autoSpaceDN w:val="0"/>
              <w:adjustRightInd w:val="0"/>
              <w:spacing w:after="0" w:line="240" w:lineRule="auto"/>
              <w:jc w:val="center"/>
              <w:rPr>
                <w:sz w:val="22"/>
                <w:szCs w:val="22"/>
              </w:rPr>
            </w:pPr>
            <w:r>
              <w:t>(0.0000)</w:t>
            </w:r>
          </w:p>
        </w:tc>
      </w:tr>
      <w:tr w:rsidR="007737F8" w14:paraId="788362A1" w14:textId="77777777" w:rsidTr="0002435E">
        <w:trPr>
          <w:jc w:val="center"/>
        </w:trPr>
        <w:tc>
          <w:tcPr>
            <w:tcW w:w="3816" w:type="dxa"/>
            <w:tcBorders>
              <w:left w:val="nil"/>
              <w:right w:val="nil"/>
            </w:tcBorders>
          </w:tcPr>
          <w:p w14:paraId="74B58C62" w14:textId="123CBFBC" w:rsidR="007737F8" w:rsidRPr="006C2CD0" w:rsidRDefault="007737F8" w:rsidP="007737F8">
            <w:pPr>
              <w:widowControl w:val="0"/>
              <w:autoSpaceDE w:val="0"/>
              <w:autoSpaceDN w:val="0"/>
              <w:adjustRightInd w:val="0"/>
              <w:spacing w:after="0" w:line="240" w:lineRule="auto"/>
              <w:rPr>
                <w:sz w:val="22"/>
                <w:szCs w:val="22"/>
              </w:rPr>
            </w:pPr>
            <w:r>
              <w:t>Constant</w:t>
            </w:r>
          </w:p>
        </w:tc>
        <w:tc>
          <w:tcPr>
            <w:tcW w:w="1656" w:type="dxa"/>
            <w:tcBorders>
              <w:left w:val="nil"/>
              <w:right w:val="nil"/>
            </w:tcBorders>
          </w:tcPr>
          <w:p w14:paraId="73D7928B" w14:textId="3F945AAD" w:rsidR="007737F8" w:rsidRPr="006C2CD0" w:rsidRDefault="007737F8" w:rsidP="007737F8">
            <w:pPr>
              <w:widowControl w:val="0"/>
              <w:autoSpaceDE w:val="0"/>
              <w:autoSpaceDN w:val="0"/>
              <w:adjustRightInd w:val="0"/>
              <w:spacing w:after="0" w:line="240" w:lineRule="auto"/>
              <w:jc w:val="center"/>
              <w:rPr>
                <w:sz w:val="22"/>
                <w:szCs w:val="22"/>
              </w:rPr>
            </w:pPr>
            <w:r>
              <w:t>-4.7559***</w:t>
            </w:r>
          </w:p>
        </w:tc>
        <w:tc>
          <w:tcPr>
            <w:tcW w:w="1656" w:type="dxa"/>
            <w:tcBorders>
              <w:left w:val="nil"/>
              <w:right w:val="nil"/>
            </w:tcBorders>
          </w:tcPr>
          <w:p w14:paraId="301DE3F2" w14:textId="39676E59" w:rsidR="007737F8" w:rsidRPr="006C2CD0" w:rsidRDefault="007737F8" w:rsidP="007737F8">
            <w:pPr>
              <w:widowControl w:val="0"/>
              <w:autoSpaceDE w:val="0"/>
              <w:autoSpaceDN w:val="0"/>
              <w:adjustRightInd w:val="0"/>
              <w:spacing w:after="0" w:line="240" w:lineRule="auto"/>
              <w:jc w:val="center"/>
              <w:rPr>
                <w:sz w:val="22"/>
                <w:szCs w:val="22"/>
              </w:rPr>
            </w:pPr>
            <w:r>
              <w:t>-3.6510***</w:t>
            </w:r>
          </w:p>
        </w:tc>
        <w:tc>
          <w:tcPr>
            <w:tcW w:w="1656" w:type="dxa"/>
            <w:tcBorders>
              <w:left w:val="nil"/>
              <w:right w:val="nil"/>
            </w:tcBorders>
          </w:tcPr>
          <w:p w14:paraId="05BE81BA" w14:textId="50011B75" w:rsidR="007737F8" w:rsidRPr="006C2CD0" w:rsidRDefault="007737F8" w:rsidP="007737F8">
            <w:pPr>
              <w:widowControl w:val="0"/>
              <w:autoSpaceDE w:val="0"/>
              <w:autoSpaceDN w:val="0"/>
              <w:adjustRightInd w:val="0"/>
              <w:spacing w:after="0" w:line="240" w:lineRule="auto"/>
              <w:jc w:val="center"/>
              <w:rPr>
                <w:sz w:val="22"/>
                <w:szCs w:val="22"/>
              </w:rPr>
            </w:pPr>
            <w:r>
              <w:t>-3.3370***</w:t>
            </w:r>
          </w:p>
        </w:tc>
      </w:tr>
      <w:tr w:rsidR="007737F8" w14:paraId="53FB9627" w14:textId="77777777" w:rsidTr="0002435E">
        <w:trPr>
          <w:jc w:val="center"/>
        </w:trPr>
        <w:tc>
          <w:tcPr>
            <w:tcW w:w="3816" w:type="dxa"/>
            <w:tcBorders>
              <w:left w:val="nil"/>
              <w:bottom w:val="single" w:sz="4" w:space="0" w:color="auto"/>
              <w:right w:val="nil"/>
            </w:tcBorders>
          </w:tcPr>
          <w:p w14:paraId="0968E7C3" w14:textId="77777777" w:rsidR="007737F8" w:rsidRPr="006C2CD0" w:rsidRDefault="007737F8" w:rsidP="007737F8">
            <w:pPr>
              <w:widowControl w:val="0"/>
              <w:autoSpaceDE w:val="0"/>
              <w:autoSpaceDN w:val="0"/>
              <w:adjustRightInd w:val="0"/>
              <w:spacing w:after="0" w:line="240" w:lineRule="auto"/>
              <w:rPr>
                <w:sz w:val="22"/>
                <w:szCs w:val="22"/>
              </w:rPr>
            </w:pPr>
          </w:p>
        </w:tc>
        <w:tc>
          <w:tcPr>
            <w:tcW w:w="1656" w:type="dxa"/>
            <w:tcBorders>
              <w:left w:val="nil"/>
              <w:bottom w:val="single" w:sz="4" w:space="0" w:color="auto"/>
              <w:right w:val="nil"/>
            </w:tcBorders>
          </w:tcPr>
          <w:p w14:paraId="188FD692" w14:textId="55872A26" w:rsidR="007737F8" w:rsidRPr="006C2CD0" w:rsidRDefault="007737F8" w:rsidP="007737F8">
            <w:pPr>
              <w:widowControl w:val="0"/>
              <w:autoSpaceDE w:val="0"/>
              <w:autoSpaceDN w:val="0"/>
              <w:adjustRightInd w:val="0"/>
              <w:spacing w:after="0" w:line="240" w:lineRule="auto"/>
              <w:jc w:val="center"/>
              <w:rPr>
                <w:sz w:val="22"/>
                <w:szCs w:val="22"/>
              </w:rPr>
            </w:pPr>
            <w:r>
              <w:t>(1.0185)</w:t>
            </w:r>
          </w:p>
        </w:tc>
        <w:tc>
          <w:tcPr>
            <w:tcW w:w="1656" w:type="dxa"/>
            <w:tcBorders>
              <w:left w:val="nil"/>
              <w:bottom w:val="single" w:sz="4" w:space="0" w:color="auto"/>
              <w:right w:val="nil"/>
            </w:tcBorders>
          </w:tcPr>
          <w:p w14:paraId="61275164" w14:textId="3D68DB0E" w:rsidR="007737F8" w:rsidRPr="006C2CD0" w:rsidRDefault="007737F8" w:rsidP="007737F8">
            <w:pPr>
              <w:widowControl w:val="0"/>
              <w:autoSpaceDE w:val="0"/>
              <w:autoSpaceDN w:val="0"/>
              <w:adjustRightInd w:val="0"/>
              <w:spacing w:after="0" w:line="240" w:lineRule="auto"/>
              <w:jc w:val="center"/>
              <w:rPr>
                <w:sz w:val="22"/>
                <w:szCs w:val="22"/>
              </w:rPr>
            </w:pPr>
            <w:r>
              <w:t>(0.4269)</w:t>
            </w:r>
          </w:p>
        </w:tc>
        <w:tc>
          <w:tcPr>
            <w:tcW w:w="1656" w:type="dxa"/>
            <w:tcBorders>
              <w:left w:val="nil"/>
              <w:bottom w:val="single" w:sz="4" w:space="0" w:color="auto"/>
              <w:right w:val="nil"/>
            </w:tcBorders>
          </w:tcPr>
          <w:p w14:paraId="3C6A4591" w14:textId="7AA88D76" w:rsidR="007737F8" w:rsidRPr="006C2CD0" w:rsidRDefault="007737F8" w:rsidP="007737F8">
            <w:pPr>
              <w:widowControl w:val="0"/>
              <w:autoSpaceDE w:val="0"/>
              <w:autoSpaceDN w:val="0"/>
              <w:adjustRightInd w:val="0"/>
              <w:spacing w:after="0" w:line="240" w:lineRule="auto"/>
              <w:jc w:val="center"/>
              <w:rPr>
                <w:sz w:val="22"/>
                <w:szCs w:val="22"/>
              </w:rPr>
            </w:pPr>
            <w:r>
              <w:t>(0.3147)</w:t>
            </w:r>
          </w:p>
        </w:tc>
      </w:tr>
      <w:tr w:rsidR="007737F8" w14:paraId="5102D91B" w14:textId="77777777" w:rsidTr="0002435E">
        <w:trPr>
          <w:jc w:val="center"/>
        </w:trPr>
        <w:tc>
          <w:tcPr>
            <w:tcW w:w="3816" w:type="dxa"/>
            <w:tcBorders>
              <w:top w:val="single" w:sz="4" w:space="0" w:color="auto"/>
              <w:left w:val="nil"/>
              <w:bottom w:val="nil"/>
              <w:right w:val="nil"/>
            </w:tcBorders>
          </w:tcPr>
          <w:p w14:paraId="5BAA5730" w14:textId="3359412D" w:rsidR="007737F8" w:rsidRPr="006C2CD0" w:rsidRDefault="007737F8" w:rsidP="007737F8">
            <w:pPr>
              <w:widowControl w:val="0"/>
              <w:autoSpaceDE w:val="0"/>
              <w:autoSpaceDN w:val="0"/>
              <w:adjustRightInd w:val="0"/>
              <w:spacing w:after="0" w:line="240" w:lineRule="auto"/>
              <w:rPr>
                <w:sz w:val="22"/>
                <w:szCs w:val="22"/>
              </w:rPr>
            </w:pPr>
            <w:r>
              <w:t>Var(Policy)</w:t>
            </w:r>
          </w:p>
        </w:tc>
        <w:tc>
          <w:tcPr>
            <w:tcW w:w="1656" w:type="dxa"/>
            <w:tcBorders>
              <w:top w:val="single" w:sz="4" w:space="0" w:color="auto"/>
              <w:left w:val="nil"/>
              <w:bottom w:val="nil"/>
              <w:right w:val="nil"/>
            </w:tcBorders>
          </w:tcPr>
          <w:p w14:paraId="30DFB45D" w14:textId="790E4B28" w:rsidR="007737F8" w:rsidRPr="006C2CD0" w:rsidRDefault="007737F8" w:rsidP="007737F8">
            <w:pPr>
              <w:widowControl w:val="0"/>
              <w:autoSpaceDE w:val="0"/>
              <w:autoSpaceDN w:val="0"/>
              <w:adjustRightInd w:val="0"/>
              <w:spacing w:after="0" w:line="240" w:lineRule="auto"/>
              <w:jc w:val="center"/>
              <w:rPr>
                <w:sz w:val="22"/>
                <w:szCs w:val="22"/>
              </w:rPr>
            </w:pPr>
            <w:r>
              <w:t>0.8403***</w:t>
            </w:r>
          </w:p>
        </w:tc>
        <w:tc>
          <w:tcPr>
            <w:tcW w:w="1656" w:type="dxa"/>
            <w:tcBorders>
              <w:top w:val="single" w:sz="4" w:space="0" w:color="auto"/>
              <w:left w:val="nil"/>
              <w:bottom w:val="nil"/>
              <w:right w:val="nil"/>
            </w:tcBorders>
          </w:tcPr>
          <w:p w14:paraId="11172B28" w14:textId="5301B41B" w:rsidR="007737F8" w:rsidRPr="006C2CD0" w:rsidRDefault="007737F8" w:rsidP="007737F8">
            <w:pPr>
              <w:widowControl w:val="0"/>
              <w:autoSpaceDE w:val="0"/>
              <w:autoSpaceDN w:val="0"/>
              <w:adjustRightInd w:val="0"/>
              <w:spacing w:after="0" w:line="240" w:lineRule="auto"/>
              <w:jc w:val="center"/>
              <w:rPr>
                <w:sz w:val="22"/>
                <w:szCs w:val="22"/>
              </w:rPr>
            </w:pPr>
            <w:r>
              <w:t>1.1815***</w:t>
            </w:r>
          </w:p>
        </w:tc>
        <w:tc>
          <w:tcPr>
            <w:tcW w:w="1656" w:type="dxa"/>
            <w:tcBorders>
              <w:top w:val="single" w:sz="4" w:space="0" w:color="auto"/>
              <w:left w:val="nil"/>
              <w:bottom w:val="nil"/>
              <w:right w:val="nil"/>
            </w:tcBorders>
          </w:tcPr>
          <w:p w14:paraId="40DF4911" w14:textId="2FBA31DC" w:rsidR="007737F8" w:rsidRPr="006C2CD0" w:rsidRDefault="007737F8" w:rsidP="007737F8">
            <w:pPr>
              <w:widowControl w:val="0"/>
              <w:autoSpaceDE w:val="0"/>
              <w:autoSpaceDN w:val="0"/>
              <w:adjustRightInd w:val="0"/>
              <w:spacing w:after="0" w:line="240" w:lineRule="auto"/>
              <w:jc w:val="center"/>
              <w:rPr>
                <w:sz w:val="22"/>
                <w:szCs w:val="22"/>
              </w:rPr>
            </w:pPr>
            <w:r>
              <w:t>0.9534***</w:t>
            </w:r>
          </w:p>
        </w:tc>
      </w:tr>
      <w:tr w:rsidR="007737F8" w14:paraId="0772D4DB" w14:textId="77777777" w:rsidTr="000D7586">
        <w:trPr>
          <w:jc w:val="center"/>
        </w:trPr>
        <w:tc>
          <w:tcPr>
            <w:tcW w:w="3816" w:type="dxa"/>
            <w:tcBorders>
              <w:top w:val="nil"/>
              <w:left w:val="nil"/>
              <w:bottom w:val="single" w:sz="4" w:space="0" w:color="auto"/>
              <w:right w:val="nil"/>
            </w:tcBorders>
          </w:tcPr>
          <w:p w14:paraId="754FC908" w14:textId="77777777" w:rsidR="007737F8" w:rsidRPr="006C2CD0" w:rsidRDefault="007737F8" w:rsidP="007737F8">
            <w:pPr>
              <w:widowControl w:val="0"/>
              <w:autoSpaceDE w:val="0"/>
              <w:autoSpaceDN w:val="0"/>
              <w:adjustRightInd w:val="0"/>
              <w:spacing w:after="0" w:line="240" w:lineRule="auto"/>
              <w:rPr>
                <w:sz w:val="22"/>
                <w:szCs w:val="22"/>
              </w:rPr>
            </w:pPr>
          </w:p>
        </w:tc>
        <w:tc>
          <w:tcPr>
            <w:tcW w:w="1656" w:type="dxa"/>
            <w:tcBorders>
              <w:top w:val="nil"/>
              <w:left w:val="nil"/>
              <w:bottom w:val="single" w:sz="4" w:space="0" w:color="auto"/>
              <w:right w:val="nil"/>
            </w:tcBorders>
          </w:tcPr>
          <w:p w14:paraId="10E02B26" w14:textId="471B4609" w:rsidR="007737F8" w:rsidRPr="006C2CD0" w:rsidRDefault="007737F8" w:rsidP="007737F8">
            <w:pPr>
              <w:widowControl w:val="0"/>
              <w:autoSpaceDE w:val="0"/>
              <w:autoSpaceDN w:val="0"/>
              <w:adjustRightInd w:val="0"/>
              <w:spacing w:after="0" w:line="240" w:lineRule="auto"/>
              <w:jc w:val="center"/>
              <w:rPr>
                <w:sz w:val="22"/>
                <w:szCs w:val="22"/>
              </w:rPr>
            </w:pPr>
            <w:r>
              <w:t>(0.1328)</w:t>
            </w:r>
          </w:p>
        </w:tc>
        <w:tc>
          <w:tcPr>
            <w:tcW w:w="1656" w:type="dxa"/>
            <w:tcBorders>
              <w:top w:val="nil"/>
              <w:left w:val="nil"/>
              <w:bottom w:val="single" w:sz="4" w:space="0" w:color="auto"/>
              <w:right w:val="nil"/>
            </w:tcBorders>
          </w:tcPr>
          <w:p w14:paraId="02E4125F" w14:textId="3D8A0DD5" w:rsidR="007737F8" w:rsidRPr="006C2CD0" w:rsidRDefault="007737F8" w:rsidP="007737F8">
            <w:pPr>
              <w:widowControl w:val="0"/>
              <w:autoSpaceDE w:val="0"/>
              <w:autoSpaceDN w:val="0"/>
              <w:adjustRightInd w:val="0"/>
              <w:spacing w:after="0" w:line="240" w:lineRule="auto"/>
              <w:jc w:val="center"/>
              <w:rPr>
                <w:sz w:val="22"/>
                <w:szCs w:val="22"/>
              </w:rPr>
            </w:pPr>
            <w:r>
              <w:t>(0.1219)</w:t>
            </w:r>
          </w:p>
        </w:tc>
        <w:tc>
          <w:tcPr>
            <w:tcW w:w="1656" w:type="dxa"/>
            <w:tcBorders>
              <w:top w:val="nil"/>
              <w:left w:val="nil"/>
              <w:bottom w:val="single" w:sz="4" w:space="0" w:color="auto"/>
              <w:right w:val="nil"/>
            </w:tcBorders>
          </w:tcPr>
          <w:p w14:paraId="02A17785" w14:textId="10B92ED4" w:rsidR="007737F8" w:rsidRPr="006C2CD0" w:rsidRDefault="007737F8" w:rsidP="007737F8">
            <w:pPr>
              <w:widowControl w:val="0"/>
              <w:autoSpaceDE w:val="0"/>
              <w:autoSpaceDN w:val="0"/>
              <w:adjustRightInd w:val="0"/>
              <w:spacing w:after="0" w:line="240" w:lineRule="auto"/>
              <w:jc w:val="center"/>
              <w:rPr>
                <w:sz w:val="22"/>
                <w:szCs w:val="22"/>
              </w:rPr>
            </w:pPr>
            <w:r>
              <w:t>(0.0794)</w:t>
            </w:r>
          </w:p>
        </w:tc>
      </w:tr>
      <w:tr w:rsidR="007737F8" w14:paraId="4E952037" w14:textId="77777777" w:rsidTr="000D7586">
        <w:trPr>
          <w:jc w:val="center"/>
        </w:trPr>
        <w:tc>
          <w:tcPr>
            <w:tcW w:w="3816" w:type="dxa"/>
            <w:tcBorders>
              <w:top w:val="nil"/>
              <w:left w:val="nil"/>
              <w:bottom w:val="single" w:sz="4" w:space="0" w:color="auto"/>
              <w:right w:val="nil"/>
            </w:tcBorders>
          </w:tcPr>
          <w:p w14:paraId="5B5C8E20" w14:textId="3EA06760" w:rsidR="007737F8" w:rsidRPr="006C2CD0" w:rsidRDefault="007737F8" w:rsidP="007737F8">
            <w:pPr>
              <w:widowControl w:val="0"/>
              <w:autoSpaceDE w:val="0"/>
              <w:autoSpaceDN w:val="0"/>
              <w:adjustRightInd w:val="0"/>
              <w:spacing w:after="0" w:line="240" w:lineRule="auto"/>
              <w:rPr>
                <w:sz w:val="22"/>
                <w:szCs w:val="22"/>
              </w:rPr>
            </w:pPr>
            <w:r>
              <w:t>Observations</w:t>
            </w:r>
          </w:p>
        </w:tc>
        <w:tc>
          <w:tcPr>
            <w:tcW w:w="1656" w:type="dxa"/>
            <w:tcBorders>
              <w:top w:val="nil"/>
              <w:left w:val="nil"/>
              <w:bottom w:val="single" w:sz="4" w:space="0" w:color="auto"/>
              <w:right w:val="nil"/>
            </w:tcBorders>
          </w:tcPr>
          <w:p w14:paraId="08C5392A" w14:textId="521B2F4A" w:rsidR="007737F8" w:rsidRPr="006C2CD0" w:rsidRDefault="007737F8" w:rsidP="007737F8">
            <w:pPr>
              <w:widowControl w:val="0"/>
              <w:autoSpaceDE w:val="0"/>
              <w:autoSpaceDN w:val="0"/>
              <w:adjustRightInd w:val="0"/>
              <w:spacing w:after="0" w:line="240" w:lineRule="auto"/>
              <w:jc w:val="center"/>
              <w:rPr>
                <w:sz w:val="22"/>
                <w:szCs w:val="22"/>
              </w:rPr>
            </w:pPr>
            <w:r>
              <w:t>28,851</w:t>
            </w:r>
          </w:p>
        </w:tc>
        <w:tc>
          <w:tcPr>
            <w:tcW w:w="1656" w:type="dxa"/>
            <w:tcBorders>
              <w:top w:val="nil"/>
              <w:left w:val="nil"/>
              <w:bottom w:val="single" w:sz="4" w:space="0" w:color="auto"/>
              <w:right w:val="nil"/>
            </w:tcBorders>
          </w:tcPr>
          <w:p w14:paraId="112EB1DD" w14:textId="77F218C6" w:rsidR="007737F8" w:rsidRPr="006C2CD0" w:rsidRDefault="007737F8" w:rsidP="007737F8">
            <w:pPr>
              <w:widowControl w:val="0"/>
              <w:autoSpaceDE w:val="0"/>
              <w:autoSpaceDN w:val="0"/>
              <w:adjustRightInd w:val="0"/>
              <w:spacing w:after="0" w:line="240" w:lineRule="auto"/>
              <w:jc w:val="center"/>
              <w:rPr>
                <w:sz w:val="22"/>
                <w:szCs w:val="22"/>
              </w:rPr>
            </w:pPr>
            <w:r>
              <w:t>95,346</w:t>
            </w:r>
          </w:p>
        </w:tc>
        <w:tc>
          <w:tcPr>
            <w:tcW w:w="1656" w:type="dxa"/>
            <w:tcBorders>
              <w:top w:val="nil"/>
              <w:left w:val="nil"/>
              <w:bottom w:val="single" w:sz="4" w:space="0" w:color="auto"/>
              <w:right w:val="nil"/>
            </w:tcBorders>
          </w:tcPr>
          <w:p w14:paraId="476A2834" w14:textId="1DAD5D8A" w:rsidR="007737F8" w:rsidRPr="006C2CD0" w:rsidRDefault="007737F8" w:rsidP="007737F8">
            <w:pPr>
              <w:widowControl w:val="0"/>
              <w:autoSpaceDE w:val="0"/>
              <w:autoSpaceDN w:val="0"/>
              <w:adjustRightInd w:val="0"/>
              <w:spacing w:after="0" w:line="240" w:lineRule="auto"/>
              <w:jc w:val="center"/>
              <w:rPr>
                <w:sz w:val="22"/>
                <w:szCs w:val="22"/>
              </w:rPr>
            </w:pPr>
            <w:r>
              <w:t>170,364</w:t>
            </w:r>
          </w:p>
        </w:tc>
      </w:tr>
    </w:tbl>
    <w:p w14:paraId="4A01C934" w14:textId="44CE22AE" w:rsidR="0038258E" w:rsidRPr="008F219C" w:rsidRDefault="0038258E" w:rsidP="0038258E">
      <w:pPr>
        <w:spacing w:after="0" w:line="240" w:lineRule="auto"/>
        <w:rPr>
          <w:rFonts w:ascii="Times" w:hAnsi="Times"/>
          <w:sz w:val="20"/>
          <w:szCs w:val="20"/>
        </w:rPr>
      </w:pPr>
      <w:r w:rsidRPr="00E9608E">
        <w:rPr>
          <w:rFonts w:ascii="Times" w:hAnsi="Times"/>
          <w:b/>
          <w:sz w:val="20"/>
          <w:szCs w:val="20"/>
        </w:rPr>
        <w:t>*</w:t>
      </w:r>
      <w:r w:rsidRPr="00E9608E">
        <w:rPr>
          <w:rFonts w:ascii="Times" w:hAnsi="Times"/>
          <w:sz w:val="20"/>
          <w:szCs w:val="20"/>
        </w:rPr>
        <w:t>indicates p&lt;.05, **p&lt;.01 and ***p&lt;.001. Modeling includes fixed effect for year and random effects for policy</w:t>
      </w:r>
      <w:r w:rsidR="001729C7" w:rsidRPr="00E9608E">
        <w:rPr>
          <w:rFonts w:ascii="Times" w:hAnsi="Times"/>
          <w:sz w:val="20"/>
          <w:szCs w:val="20"/>
        </w:rPr>
        <w:t xml:space="preserve"> areas</w:t>
      </w:r>
      <w:r w:rsidRPr="00E9608E">
        <w:rPr>
          <w:rFonts w:ascii="Times" w:hAnsi="Times"/>
          <w:sz w:val="20"/>
          <w:szCs w:val="20"/>
        </w:rPr>
        <w:t xml:space="preserve">. </w:t>
      </w:r>
      <w:r w:rsidRPr="00E9608E">
        <w:rPr>
          <w:rFonts w:ascii="Times" w:hAnsi="Times" w:cs="Calibri"/>
          <w:color w:val="000000"/>
          <w:sz w:val="20"/>
          <w:szCs w:val="20"/>
          <w:shd w:val="clear" w:color="auto" w:fill="FFFFFF"/>
        </w:rPr>
        <w:t xml:space="preserve">More policies began diffusing in the 80s and 90s than those that began diffusing the in the 2000s, so the number of observations is larger for the earlier period. Many of the policies from the 2000s are still diffusing, while most from the 80s and 90s </w:t>
      </w:r>
      <w:r w:rsidR="00C46328" w:rsidRPr="00E9608E">
        <w:rPr>
          <w:rFonts w:ascii="Times" w:hAnsi="Times" w:cs="Calibri"/>
          <w:color w:val="000000"/>
          <w:sz w:val="20"/>
          <w:szCs w:val="20"/>
          <w:shd w:val="clear" w:color="auto" w:fill="FFFFFF"/>
        </w:rPr>
        <w:t xml:space="preserve">are </w:t>
      </w:r>
      <w:r w:rsidRPr="00E9608E">
        <w:rPr>
          <w:rFonts w:ascii="Times" w:hAnsi="Times" w:cs="Calibri"/>
          <w:color w:val="000000"/>
          <w:sz w:val="20"/>
          <w:szCs w:val="20"/>
          <w:shd w:val="clear" w:color="auto" w:fill="FFFFFF"/>
        </w:rPr>
        <w:t xml:space="preserve">fully diffused. Broadband home </w:t>
      </w:r>
      <w:r w:rsidR="00C46328" w:rsidRPr="00E9608E">
        <w:rPr>
          <w:rFonts w:ascii="Times" w:hAnsi="Times" w:cs="Calibri"/>
          <w:color w:val="000000"/>
          <w:sz w:val="20"/>
          <w:szCs w:val="20"/>
          <w:shd w:val="clear" w:color="auto" w:fill="FFFFFF"/>
        </w:rPr>
        <w:t>subscription</w:t>
      </w:r>
      <w:r w:rsidRPr="00E9608E">
        <w:rPr>
          <w:rFonts w:ascii="Times" w:hAnsi="Times" w:cs="Calibri"/>
          <w:color w:val="000000"/>
          <w:sz w:val="20"/>
          <w:szCs w:val="20"/>
          <w:shd w:val="clear" w:color="auto" w:fill="FFFFFF"/>
        </w:rPr>
        <w:t xml:space="preserve"> first measured by the Census Current Population Survey (CPS) in 2000. Internet use dial-up first measured by Census CPS in 1997</w:t>
      </w:r>
      <w:r>
        <w:rPr>
          <w:rFonts w:ascii="Times" w:hAnsi="Times" w:cs="Calibri"/>
          <w:color w:val="000000"/>
          <w:sz w:val="20"/>
          <w:szCs w:val="20"/>
          <w:shd w:val="clear" w:color="auto" w:fill="FFFFFF"/>
        </w:rPr>
        <w:t>.</w:t>
      </w:r>
    </w:p>
    <w:p w14:paraId="4190A6F5" w14:textId="77777777" w:rsidR="0038258E" w:rsidRDefault="0038258E" w:rsidP="0038258E">
      <w:pPr>
        <w:spacing w:after="0" w:line="240" w:lineRule="auto"/>
        <w:jc w:val="center"/>
        <w:rPr>
          <w:b/>
        </w:rPr>
      </w:pPr>
    </w:p>
    <w:p w14:paraId="6561E163" w14:textId="77777777" w:rsidR="0038258E" w:rsidRDefault="0038258E" w:rsidP="0038258E">
      <w:pPr>
        <w:spacing w:after="0" w:line="240" w:lineRule="auto"/>
        <w:jc w:val="center"/>
        <w:rPr>
          <w:b/>
        </w:rPr>
      </w:pPr>
    </w:p>
    <w:p w14:paraId="771091BE" w14:textId="77777777" w:rsidR="0038258E" w:rsidRDefault="0038258E" w:rsidP="0038258E">
      <w:pPr>
        <w:spacing w:after="0" w:line="240" w:lineRule="auto"/>
        <w:jc w:val="center"/>
        <w:rPr>
          <w:b/>
        </w:rPr>
      </w:pPr>
    </w:p>
    <w:p w14:paraId="51B40CC0" w14:textId="77777777" w:rsidR="0038258E" w:rsidRDefault="0038258E" w:rsidP="0038258E">
      <w:pPr>
        <w:spacing w:after="0" w:line="240" w:lineRule="auto"/>
        <w:jc w:val="center"/>
        <w:rPr>
          <w:b/>
        </w:rPr>
      </w:pPr>
    </w:p>
    <w:p w14:paraId="2E439F76" w14:textId="2C80F4A3" w:rsidR="0038258E" w:rsidRPr="00541889" w:rsidRDefault="0038258E" w:rsidP="00541889">
      <w:pPr>
        <w:spacing w:after="0"/>
        <w:rPr>
          <w:b/>
        </w:rPr>
      </w:pPr>
      <w:r>
        <w:rPr>
          <w:b/>
        </w:rPr>
        <w:br w:type="page"/>
      </w:r>
      <w:r w:rsidRPr="00B93051">
        <w:lastRenderedPageBreak/>
        <w:t xml:space="preserve">Figure </w:t>
      </w:r>
      <w:r>
        <w:t>2:</w:t>
      </w:r>
      <w:r w:rsidRPr="00B93051">
        <w:t xml:space="preserve"> Predicted Probability of Adopting any given Policy in a Year </w:t>
      </w:r>
      <w:r w:rsidRPr="00B93051">
        <w:rPr>
          <w:rStyle w:val="FootnoteReference"/>
        </w:rPr>
        <w:footnoteReference w:id="13"/>
      </w:r>
    </w:p>
    <w:p w14:paraId="73492FAE" w14:textId="76AF027B" w:rsidR="0038258E" w:rsidRDefault="00657AA1" w:rsidP="0038258E">
      <w:pPr>
        <w:spacing w:after="0"/>
        <w:jc w:val="center"/>
        <w:rPr>
          <w:b/>
        </w:rPr>
      </w:pPr>
      <w:r>
        <w:rPr>
          <w:noProof/>
        </w:rPr>
        <w:drawing>
          <wp:inline distT="0" distB="0" distL="0" distR="0" wp14:anchorId="27010605" wp14:editId="2A7DED1B">
            <wp:extent cx="4762500" cy="346553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70806" cy="3471577"/>
                    </a:xfrm>
                    <a:prstGeom prst="rect">
                      <a:avLst/>
                    </a:prstGeom>
                    <a:noFill/>
                    <a:ln>
                      <a:noFill/>
                    </a:ln>
                  </pic:spPr>
                </pic:pic>
              </a:graphicData>
            </a:graphic>
          </wp:inline>
        </w:drawing>
      </w:r>
    </w:p>
    <w:p w14:paraId="59B720CB" w14:textId="77777777" w:rsidR="0038258E" w:rsidRPr="00DA541C" w:rsidRDefault="0038258E" w:rsidP="0038258E">
      <w:pPr>
        <w:spacing w:after="0"/>
        <w:jc w:val="center"/>
        <w:rPr>
          <w:b/>
        </w:rPr>
      </w:pPr>
      <w:r w:rsidRPr="00DA541C">
        <w:rPr>
          <w:b/>
        </w:rPr>
        <w:br w:type="page"/>
      </w:r>
    </w:p>
    <w:p w14:paraId="6171EBE1" w14:textId="77777777" w:rsidR="0038258E" w:rsidRPr="00B93051" w:rsidRDefault="0038258E" w:rsidP="0038258E">
      <w:pPr>
        <w:spacing w:after="0" w:line="240" w:lineRule="auto"/>
        <w:jc w:val="center"/>
        <w:rPr>
          <w:rFonts w:eastAsia="Times New Roman"/>
        </w:rPr>
      </w:pPr>
      <w:r w:rsidRPr="00B93051">
        <w:rPr>
          <w:rFonts w:eastAsia="Times New Roman"/>
        </w:rPr>
        <w:lastRenderedPageBreak/>
        <w:t xml:space="preserve">Table </w:t>
      </w:r>
      <w:r>
        <w:rPr>
          <w:rFonts w:eastAsia="Times New Roman"/>
        </w:rPr>
        <w:t>2</w:t>
      </w:r>
      <w:r w:rsidRPr="00B93051">
        <w:rPr>
          <w:rFonts w:eastAsia="Times New Roman"/>
        </w:rPr>
        <w:t xml:space="preserve">: </w:t>
      </w:r>
      <w:r w:rsidRPr="00B93051">
        <w:rPr>
          <w:rFonts w:eastAsia="Times New Roman"/>
          <w:color w:val="000000"/>
          <w:shd w:val="clear" w:color="auto" w:fill="FFFFFF"/>
        </w:rPr>
        <w:t xml:space="preserve">Pooled Event History Analysis of State Policy Innovations with Interaction between Geographic Contiguity and Broadband Subscriptions </w:t>
      </w:r>
      <w:r w:rsidRPr="00B93051">
        <w:rPr>
          <w:rFonts w:eastAsia="Times New Roman"/>
        </w:rPr>
        <w:t>*</w:t>
      </w:r>
    </w:p>
    <w:tbl>
      <w:tblPr>
        <w:tblW w:w="0" w:type="auto"/>
        <w:tblLayout w:type="fixed"/>
        <w:tblLook w:val="0000" w:firstRow="0" w:lastRow="0" w:firstColumn="0" w:lastColumn="0" w:noHBand="0" w:noVBand="0"/>
      </w:tblPr>
      <w:tblGrid>
        <w:gridCol w:w="4050"/>
        <w:gridCol w:w="1422"/>
        <w:gridCol w:w="108"/>
        <w:gridCol w:w="1548"/>
        <w:gridCol w:w="1656"/>
      </w:tblGrid>
      <w:tr w:rsidR="0038258E" w:rsidRPr="00B93051" w14:paraId="1BE99D04" w14:textId="77777777" w:rsidTr="00210574">
        <w:tc>
          <w:tcPr>
            <w:tcW w:w="4050" w:type="dxa"/>
            <w:tcBorders>
              <w:top w:val="single" w:sz="4" w:space="0" w:color="auto"/>
              <w:left w:val="nil"/>
              <w:bottom w:val="nil"/>
              <w:right w:val="nil"/>
            </w:tcBorders>
          </w:tcPr>
          <w:p w14:paraId="6A72F24C" w14:textId="77777777" w:rsidR="0038258E" w:rsidRPr="00B93051" w:rsidRDefault="0038258E" w:rsidP="000D7586">
            <w:pPr>
              <w:widowControl w:val="0"/>
              <w:autoSpaceDE w:val="0"/>
              <w:autoSpaceDN w:val="0"/>
              <w:adjustRightInd w:val="0"/>
              <w:spacing w:after="0" w:line="240" w:lineRule="auto"/>
              <w:rPr>
                <w:rFonts w:eastAsia="Times New Roman"/>
                <w:sz w:val="22"/>
                <w:szCs w:val="22"/>
              </w:rPr>
            </w:pPr>
          </w:p>
        </w:tc>
        <w:tc>
          <w:tcPr>
            <w:tcW w:w="1422" w:type="dxa"/>
            <w:tcBorders>
              <w:top w:val="single" w:sz="4" w:space="0" w:color="auto"/>
              <w:left w:val="nil"/>
              <w:bottom w:val="nil"/>
              <w:right w:val="nil"/>
            </w:tcBorders>
          </w:tcPr>
          <w:p w14:paraId="56C64C76" w14:textId="77777777" w:rsidR="0038258E" w:rsidRPr="00B93051" w:rsidRDefault="0038258E" w:rsidP="000D7586">
            <w:pPr>
              <w:widowControl w:val="0"/>
              <w:autoSpaceDE w:val="0"/>
              <w:autoSpaceDN w:val="0"/>
              <w:adjustRightInd w:val="0"/>
              <w:spacing w:after="0" w:line="240" w:lineRule="auto"/>
              <w:jc w:val="center"/>
              <w:rPr>
                <w:rFonts w:eastAsia="Times New Roman"/>
                <w:sz w:val="22"/>
                <w:szCs w:val="22"/>
              </w:rPr>
            </w:pPr>
            <w:r w:rsidRPr="00B93051">
              <w:rPr>
                <w:rFonts w:eastAsia="Times New Roman"/>
                <w:sz w:val="22"/>
                <w:szCs w:val="22"/>
              </w:rPr>
              <w:t>(1)</w:t>
            </w:r>
          </w:p>
        </w:tc>
        <w:tc>
          <w:tcPr>
            <w:tcW w:w="1656" w:type="dxa"/>
            <w:gridSpan w:val="2"/>
            <w:tcBorders>
              <w:top w:val="single" w:sz="4" w:space="0" w:color="auto"/>
              <w:left w:val="nil"/>
              <w:bottom w:val="nil"/>
              <w:right w:val="nil"/>
            </w:tcBorders>
          </w:tcPr>
          <w:p w14:paraId="10703891" w14:textId="77777777" w:rsidR="0038258E" w:rsidRPr="00B93051" w:rsidRDefault="0038258E" w:rsidP="000D7586">
            <w:pPr>
              <w:widowControl w:val="0"/>
              <w:autoSpaceDE w:val="0"/>
              <w:autoSpaceDN w:val="0"/>
              <w:adjustRightInd w:val="0"/>
              <w:spacing w:after="0" w:line="240" w:lineRule="auto"/>
              <w:jc w:val="center"/>
              <w:rPr>
                <w:rFonts w:eastAsia="Times New Roman"/>
                <w:sz w:val="22"/>
                <w:szCs w:val="22"/>
              </w:rPr>
            </w:pPr>
            <w:r w:rsidRPr="00B93051">
              <w:rPr>
                <w:rFonts w:eastAsia="Times New Roman"/>
                <w:sz w:val="22"/>
                <w:szCs w:val="22"/>
              </w:rPr>
              <w:t>(2)</w:t>
            </w:r>
          </w:p>
        </w:tc>
        <w:tc>
          <w:tcPr>
            <w:tcW w:w="1656" w:type="dxa"/>
            <w:tcBorders>
              <w:top w:val="single" w:sz="4" w:space="0" w:color="auto"/>
              <w:left w:val="nil"/>
              <w:bottom w:val="nil"/>
              <w:right w:val="nil"/>
            </w:tcBorders>
          </w:tcPr>
          <w:p w14:paraId="3C36C328" w14:textId="77777777" w:rsidR="0038258E" w:rsidRPr="00B93051" w:rsidRDefault="0038258E" w:rsidP="000D7586">
            <w:pPr>
              <w:widowControl w:val="0"/>
              <w:autoSpaceDE w:val="0"/>
              <w:autoSpaceDN w:val="0"/>
              <w:adjustRightInd w:val="0"/>
              <w:spacing w:after="0" w:line="240" w:lineRule="auto"/>
              <w:jc w:val="center"/>
              <w:rPr>
                <w:rFonts w:eastAsia="Times New Roman"/>
                <w:sz w:val="22"/>
                <w:szCs w:val="22"/>
              </w:rPr>
            </w:pPr>
            <w:r w:rsidRPr="00B93051">
              <w:rPr>
                <w:rFonts w:eastAsia="Times New Roman"/>
                <w:sz w:val="22"/>
                <w:szCs w:val="22"/>
              </w:rPr>
              <w:t>(3)</w:t>
            </w:r>
          </w:p>
        </w:tc>
      </w:tr>
      <w:tr w:rsidR="0038258E" w:rsidRPr="00B93051" w14:paraId="5933EBBF" w14:textId="77777777" w:rsidTr="00210574">
        <w:tc>
          <w:tcPr>
            <w:tcW w:w="4050" w:type="dxa"/>
            <w:tcBorders>
              <w:top w:val="nil"/>
              <w:left w:val="nil"/>
              <w:bottom w:val="nil"/>
              <w:right w:val="nil"/>
            </w:tcBorders>
          </w:tcPr>
          <w:p w14:paraId="6C3960DE" w14:textId="77777777" w:rsidR="0038258E" w:rsidRPr="00B93051" w:rsidRDefault="0038258E" w:rsidP="000D7586">
            <w:pPr>
              <w:widowControl w:val="0"/>
              <w:autoSpaceDE w:val="0"/>
              <w:autoSpaceDN w:val="0"/>
              <w:adjustRightInd w:val="0"/>
              <w:spacing w:after="0" w:line="240" w:lineRule="auto"/>
              <w:rPr>
                <w:rFonts w:eastAsia="Times New Roman"/>
                <w:sz w:val="22"/>
                <w:szCs w:val="22"/>
              </w:rPr>
            </w:pPr>
          </w:p>
        </w:tc>
        <w:tc>
          <w:tcPr>
            <w:tcW w:w="1422" w:type="dxa"/>
            <w:tcBorders>
              <w:top w:val="nil"/>
              <w:left w:val="nil"/>
              <w:bottom w:val="nil"/>
              <w:right w:val="nil"/>
            </w:tcBorders>
          </w:tcPr>
          <w:p w14:paraId="70460A40" w14:textId="77777777" w:rsidR="0038258E" w:rsidRPr="00B93051" w:rsidRDefault="0038258E" w:rsidP="000D7586">
            <w:pPr>
              <w:widowControl w:val="0"/>
              <w:autoSpaceDE w:val="0"/>
              <w:autoSpaceDN w:val="0"/>
              <w:adjustRightInd w:val="0"/>
              <w:spacing w:after="0" w:line="240" w:lineRule="auto"/>
              <w:jc w:val="center"/>
              <w:rPr>
                <w:rFonts w:eastAsia="Times New Roman"/>
                <w:sz w:val="22"/>
                <w:szCs w:val="22"/>
              </w:rPr>
            </w:pPr>
            <w:r w:rsidRPr="00B93051">
              <w:rPr>
                <w:rFonts w:eastAsia="Times New Roman"/>
                <w:sz w:val="22"/>
                <w:szCs w:val="22"/>
              </w:rPr>
              <w:t>2000-2016</w:t>
            </w:r>
          </w:p>
        </w:tc>
        <w:tc>
          <w:tcPr>
            <w:tcW w:w="1656" w:type="dxa"/>
            <w:gridSpan w:val="2"/>
            <w:tcBorders>
              <w:top w:val="nil"/>
              <w:left w:val="nil"/>
              <w:bottom w:val="nil"/>
              <w:right w:val="nil"/>
            </w:tcBorders>
          </w:tcPr>
          <w:p w14:paraId="4A041EC7" w14:textId="77777777" w:rsidR="0038258E" w:rsidRPr="00B93051" w:rsidRDefault="0038258E" w:rsidP="000D7586">
            <w:pPr>
              <w:widowControl w:val="0"/>
              <w:autoSpaceDE w:val="0"/>
              <w:autoSpaceDN w:val="0"/>
              <w:adjustRightInd w:val="0"/>
              <w:spacing w:after="0" w:line="240" w:lineRule="auto"/>
              <w:jc w:val="center"/>
              <w:rPr>
                <w:rFonts w:eastAsia="Times New Roman"/>
                <w:sz w:val="22"/>
                <w:szCs w:val="22"/>
              </w:rPr>
            </w:pPr>
            <w:r w:rsidRPr="00B93051">
              <w:rPr>
                <w:rFonts w:eastAsia="Times New Roman"/>
                <w:sz w:val="22"/>
                <w:szCs w:val="22"/>
              </w:rPr>
              <w:t>Pooled 1980-2016</w:t>
            </w:r>
          </w:p>
        </w:tc>
        <w:tc>
          <w:tcPr>
            <w:tcW w:w="1656" w:type="dxa"/>
            <w:tcBorders>
              <w:top w:val="nil"/>
              <w:left w:val="nil"/>
              <w:bottom w:val="nil"/>
              <w:right w:val="nil"/>
            </w:tcBorders>
          </w:tcPr>
          <w:p w14:paraId="1B1D96EE" w14:textId="77777777" w:rsidR="0038258E" w:rsidRPr="00B93051" w:rsidRDefault="0038258E" w:rsidP="000D7586">
            <w:pPr>
              <w:widowControl w:val="0"/>
              <w:autoSpaceDE w:val="0"/>
              <w:autoSpaceDN w:val="0"/>
              <w:adjustRightInd w:val="0"/>
              <w:spacing w:after="0" w:line="240" w:lineRule="auto"/>
              <w:jc w:val="center"/>
              <w:rPr>
                <w:rFonts w:eastAsia="Times New Roman"/>
                <w:sz w:val="22"/>
                <w:szCs w:val="22"/>
              </w:rPr>
            </w:pPr>
            <w:r w:rsidRPr="00B93051">
              <w:rPr>
                <w:rFonts w:eastAsia="Times New Roman"/>
                <w:sz w:val="22"/>
                <w:szCs w:val="22"/>
              </w:rPr>
              <w:t>Pooled- Pre 2000 Dummy</w:t>
            </w:r>
          </w:p>
        </w:tc>
      </w:tr>
      <w:tr w:rsidR="00210574" w:rsidRPr="00B93051" w14:paraId="214BF774" w14:textId="77777777" w:rsidTr="00210574">
        <w:tc>
          <w:tcPr>
            <w:tcW w:w="4050" w:type="dxa"/>
            <w:tcBorders>
              <w:top w:val="single" w:sz="4" w:space="0" w:color="auto"/>
              <w:left w:val="nil"/>
              <w:bottom w:val="nil"/>
              <w:right w:val="nil"/>
            </w:tcBorders>
          </w:tcPr>
          <w:p w14:paraId="37E7DC93" w14:textId="7F7CAC35" w:rsidR="00210574" w:rsidRPr="00B93051" w:rsidRDefault="00210574" w:rsidP="00210574">
            <w:pPr>
              <w:widowControl w:val="0"/>
              <w:autoSpaceDE w:val="0"/>
              <w:autoSpaceDN w:val="0"/>
              <w:adjustRightInd w:val="0"/>
              <w:spacing w:after="0" w:line="240" w:lineRule="auto"/>
              <w:rPr>
                <w:rFonts w:eastAsia="Times New Roman"/>
                <w:sz w:val="22"/>
                <w:szCs w:val="22"/>
              </w:rPr>
            </w:pPr>
            <w:r>
              <w:t>Broadband Subscriptions</w:t>
            </w:r>
          </w:p>
        </w:tc>
        <w:tc>
          <w:tcPr>
            <w:tcW w:w="1422" w:type="dxa"/>
            <w:tcBorders>
              <w:top w:val="single" w:sz="4" w:space="0" w:color="auto"/>
              <w:left w:val="nil"/>
              <w:bottom w:val="nil"/>
              <w:right w:val="nil"/>
            </w:tcBorders>
          </w:tcPr>
          <w:p w14:paraId="5505B33E" w14:textId="0339EBE2"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1.8702**</w:t>
            </w:r>
          </w:p>
        </w:tc>
        <w:tc>
          <w:tcPr>
            <w:tcW w:w="1656" w:type="dxa"/>
            <w:gridSpan w:val="2"/>
            <w:tcBorders>
              <w:top w:val="single" w:sz="4" w:space="0" w:color="auto"/>
              <w:left w:val="nil"/>
              <w:bottom w:val="nil"/>
              <w:right w:val="nil"/>
            </w:tcBorders>
          </w:tcPr>
          <w:p w14:paraId="56BA2212" w14:textId="01B7D009"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0.7211**</w:t>
            </w:r>
          </w:p>
        </w:tc>
        <w:tc>
          <w:tcPr>
            <w:tcW w:w="1656" w:type="dxa"/>
            <w:tcBorders>
              <w:top w:val="single" w:sz="4" w:space="0" w:color="auto"/>
              <w:left w:val="nil"/>
              <w:bottom w:val="nil"/>
              <w:right w:val="nil"/>
            </w:tcBorders>
          </w:tcPr>
          <w:p w14:paraId="3DB9F07E" w14:textId="40F713B1"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0.6893*</w:t>
            </w:r>
          </w:p>
        </w:tc>
      </w:tr>
      <w:tr w:rsidR="00210574" w:rsidRPr="00B93051" w14:paraId="10C8F656" w14:textId="77777777" w:rsidTr="00210574">
        <w:tc>
          <w:tcPr>
            <w:tcW w:w="4050" w:type="dxa"/>
            <w:tcBorders>
              <w:top w:val="nil"/>
              <w:left w:val="nil"/>
              <w:bottom w:val="nil"/>
              <w:right w:val="nil"/>
            </w:tcBorders>
          </w:tcPr>
          <w:p w14:paraId="7A60E345" w14:textId="77777777" w:rsidR="00210574" w:rsidRPr="00B93051" w:rsidRDefault="00210574" w:rsidP="00210574">
            <w:pPr>
              <w:widowControl w:val="0"/>
              <w:autoSpaceDE w:val="0"/>
              <w:autoSpaceDN w:val="0"/>
              <w:adjustRightInd w:val="0"/>
              <w:spacing w:after="0" w:line="240" w:lineRule="auto"/>
              <w:rPr>
                <w:rFonts w:eastAsia="Times New Roman"/>
                <w:sz w:val="22"/>
                <w:szCs w:val="22"/>
              </w:rPr>
            </w:pPr>
          </w:p>
        </w:tc>
        <w:tc>
          <w:tcPr>
            <w:tcW w:w="1422" w:type="dxa"/>
            <w:tcBorders>
              <w:top w:val="nil"/>
              <w:left w:val="nil"/>
              <w:bottom w:val="nil"/>
              <w:right w:val="nil"/>
            </w:tcBorders>
          </w:tcPr>
          <w:p w14:paraId="71FBCEDE" w14:textId="6ADDCC21"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(0.6091)</w:t>
            </w:r>
          </w:p>
        </w:tc>
        <w:tc>
          <w:tcPr>
            <w:tcW w:w="1656" w:type="dxa"/>
            <w:gridSpan w:val="2"/>
            <w:tcBorders>
              <w:top w:val="nil"/>
              <w:left w:val="nil"/>
              <w:bottom w:val="nil"/>
              <w:right w:val="nil"/>
            </w:tcBorders>
          </w:tcPr>
          <w:p w14:paraId="643BFDC7" w14:textId="7457D5CA"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(0.3597)</w:t>
            </w:r>
          </w:p>
        </w:tc>
        <w:tc>
          <w:tcPr>
            <w:tcW w:w="1656" w:type="dxa"/>
            <w:tcBorders>
              <w:top w:val="nil"/>
              <w:left w:val="nil"/>
              <w:bottom w:val="nil"/>
              <w:right w:val="nil"/>
            </w:tcBorders>
          </w:tcPr>
          <w:p w14:paraId="6C83A11E" w14:textId="004851BA"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(0.3621)</w:t>
            </w:r>
          </w:p>
        </w:tc>
      </w:tr>
      <w:tr w:rsidR="00210574" w:rsidRPr="00B93051" w14:paraId="3ABC0005" w14:textId="77777777" w:rsidTr="00210574">
        <w:tc>
          <w:tcPr>
            <w:tcW w:w="4050" w:type="dxa"/>
            <w:tcBorders>
              <w:top w:val="nil"/>
              <w:left w:val="nil"/>
              <w:bottom w:val="nil"/>
              <w:right w:val="nil"/>
            </w:tcBorders>
          </w:tcPr>
          <w:p w14:paraId="089EED3B" w14:textId="0904CB9E" w:rsidR="00210574" w:rsidRPr="00B93051" w:rsidRDefault="00210574" w:rsidP="00210574">
            <w:pPr>
              <w:widowControl w:val="0"/>
              <w:autoSpaceDE w:val="0"/>
              <w:autoSpaceDN w:val="0"/>
              <w:adjustRightInd w:val="0"/>
              <w:spacing w:after="0" w:line="240" w:lineRule="auto"/>
              <w:rPr>
                <w:rFonts w:eastAsia="Times New Roman"/>
                <w:sz w:val="22"/>
                <w:szCs w:val="22"/>
              </w:rPr>
            </w:pPr>
            <w:r>
              <w:t>Geographic Contiguity</w:t>
            </w:r>
          </w:p>
        </w:tc>
        <w:tc>
          <w:tcPr>
            <w:tcW w:w="1422" w:type="dxa"/>
            <w:tcBorders>
              <w:top w:val="nil"/>
              <w:left w:val="nil"/>
              <w:bottom w:val="nil"/>
              <w:right w:val="nil"/>
            </w:tcBorders>
          </w:tcPr>
          <w:p w14:paraId="53FF9573" w14:textId="6F3C7D95"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0.3885***</w:t>
            </w:r>
          </w:p>
        </w:tc>
        <w:tc>
          <w:tcPr>
            <w:tcW w:w="1656" w:type="dxa"/>
            <w:gridSpan w:val="2"/>
            <w:tcBorders>
              <w:top w:val="nil"/>
              <w:left w:val="nil"/>
              <w:bottom w:val="nil"/>
              <w:right w:val="nil"/>
            </w:tcBorders>
          </w:tcPr>
          <w:p w14:paraId="0F152C48" w14:textId="7487D625"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0.2199***</w:t>
            </w:r>
          </w:p>
        </w:tc>
        <w:tc>
          <w:tcPr>
            <w:tcW w:w="1656" w:type="dxa"/>
            <w:tcBorders>
              <w:top w:val="nil"/>
              <w:left w:val="nil"/>
              <w:bottom w:val="nil"/>
              <w:right w:val="nil"/>
            </w:tcBorders>
          </w:tcPr>
          <w:p w14:paraId="3A506EEB" w14:textId="206BB03F"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0.2205***</w:t>
            </w:r>
          </w:p>
        </w:tc>
      </w:tr>
      <w:tr w:rsidR="00210574" w:rsidRPr="00B93051" w14:paraId="491532FA" w14:textId="77777777" w:rsidTr="00210574">
        <w:tc>
          <w:tcPr>
            <w:tcW w:w="4050" w:type="dxa"/>
            <w:tcBorders>
              <w:top w:val="nil"/>
              <w:left w:val="nil"/>
              <w:bottom w:val="nil"/>
              <w:right w:val="nil"/>
            </w:tcBorders>
          </w:tcPr>
          <w:p w14:paraId="595980B4" w14:textId="77777777" w:rsidR="00210574" w:rsidRPr="00B93051" w:rsidRDefault="00210574" w:rsidP="00210574">
            <w:pPr>
              <w:widowControl w:val="0"/>
              <w:autoSpaceDE w:val="0"/>
              <w:autoSpaceDN w:val="0"/>
              <w:adjustRightInd w:val="0"/>
              <w:spacing w:after="0" w:line="240" w:lineRule="auto"/>
              <w:rPr>
                <w:rFonts w:eastAsia="Times New Roman"/>
                <w:sz w:val="22"/>
                <w:szCs w:val="22"/>
              </w:rPr>
            </w:pPr>
          </w:p>
        </w:tc>
        <w:tc>
          <w:tcPr>
            <w:tcW w:w="1422" w:type="dxa"/>
            <w:tcBorders>
              <w:top w:val="nil"/>
              <w:left w:val="nil"/>
              <w:bottom w:val="nil"/>
              <w:right w:val="nil"/>
            </w:tcBorders>
          </w:tcPr>
          <w:p w14:paraId="59AB5EC4" w14:textId="032B8C3E"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(0.0999)</w:t>
            </w:r>
          </w:p>
        </w:tc>
        <w:tc>
          <w:tcPr>
            <w:tcW w:w="1656" w:type="dxa"/>
            <w:gridSpan w:val="2"/>
            <w:tcBorders>
              <w:top w:val="nil"/>
              <w:left w:val="nil"/>
              <w:bottom w:val="nil"/>
              <w:right w:val="nil"/>
            </w:tcBorders>
          </w:tcPr>
          <w:p w14:paraId="1E5F7C31" w14:textId="4D8760F5"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(0.0149)</w:t>
            </w:r>
          </w:p>
        </w:tc>
        <w:tc>
          <w:tcPr>
            <w:tcW w:w="1656" w:type="dxa"/>
            <w:tcBorders>
              <w:top w:val="nil"/>
              <w:left w:val="nil"/>
              <w:bottom w:val="nil"/>
              <w:right w:val="nil"/>
            </w:tcBorders>
          </w:tcPr>
          <w:p w14:paraId="502C285C" w14:textId="4AA18A28"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(0.0153)</w:t>
            </w:r>
          </w:p>
        </w:tc>
      </w:tr>
      <w:tr w:rsidR="00210574" w:rsidRPr="00B93051" w14:paraId="1D69218C" w14:textId="77777777" w:rsidTr="00210574">
        <w:tc>
          <w:tcPr>
            <w:tcW w:w="4050" w:type="dxa"/>
            <w:tcBorders>
              <w:top w:val="nil"/>
              <w:left w:val="nil"/>
              <w:bottom w:val="nil"/>
              <w:right w:val="nil"/>
            </w:tcBorders>
          </w:tcPr>
          <w:p w14:paraId="4D518DB1" w14:textId="0B3A579B" w:rsidR="00210574" w:rsidRPr="00B93051" w:rsidRDefault="00210574" w:rsidP="00210574">
            <w:pPr>
              <w:widowControl w:val="0"/>
              <w:autoSpaceDE w:val="0"/>
              <w:autoSpaceDN w:val="0"/>
              <w:adjustRightInd w:val="0"/>
              <w:spacing w:after="0" w:line="240" w:lineRule="auto"/>
              <w:rPr>
                <w:rFonts w:eastAsia="Times New Roman"/>
                <w:sz w:val="22"/>
                <w:szCs w:val="22"/>
              </w:rPr>
            </w:pPr>
            <w:r>
              <w:t>Broadband # Geographic Contiguity</w:t>
            </w:r>
          </w:p>
        </w:tc>
        <w:tc>
          <w:tcPr>
            <w:tcW w:w="1422" w:type="dxa"/>
            <w:tcBorders>
              <w:top w:val="nil"/>
              <w:left w:val="nil"/>
              <w:bottom w:val="nil"/>
              <w:right w:val="nil"/>
            </w:tcBorders>
          </w:tcPr>
          <w:p w14:paraId="4CB59638" w14:textId="3F8E7B12"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-0.3478**</w:t>
            </w:r>
          </w:p>
        </w:tc>
        <w:tc>
          <w:tcPr>
            <w:tcW w:w="1656" w:type="dxa"/>
            <w:gridSpan w:val="2"/>
            <w:tcBorders>
              <w:top w:val="nil"/>
              <w:left w:val="nil"/>
              <w:bottom w:val="nil"/>
              <w:right w:val="nil"/>
            </w:tcBorders>
          </w:tcPr>
          <w:p w14:paraId="6D50B0CB" w14:textId="183FEC0E"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-0.1714***</w:t>
            </w:r>
          </w:p>
        </w:tc>
        <w:tc>
          <w:tcPr>
            <w:tcW w:w="1656" w:type="dxa"/>
            <w:tcBorders>
              <w:top w:val="nil"/>
              <w:left w:val="nil"/>
              <w:bottom w:val="nil"/>
              <w:right w:val="nil"/>
            </w:tcBorders>
          </w:tcPr>
          <w:p w14:paraId="4B9B3C67" w14:textId="733676F6"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-0.1649***</w:t>
            </w:r>
          </w:p>
        </w:tc>
      </w:tr>
      <w:tr w:rsidR="00210574" w:rsidRPr="00B93051" w14:paraId="599FF7C3" w14:textId="77777777" w:rsidTr="00210574">
        <w:tc>
          <w:tcPr>
            <w:tcW w:w="4050" w:type="dxa"/>
            <w:tcBorders>
              <w:top w:val="nil"/>
              <w:left w:val="nil"/>
              <w:bottom w:val="nil"/>
              <w:right w:val="nil"/>
            </w:tcBorders>
          </w:tcPr>
          <w:p w14:paraId="6538C170" w14:textId="77777777" w:rsidR="00210574" w:rsidRPr="00B93051" w:rsidRDefault="00210574" w:rsidP="00210574">
            <w:pPr>
              <w:widowControl w:val="0"/>
              <w:autoSpaceDE w:val="0"/>
              <w:autoSpaceDN w:val="0"/>
              <w:adjustRightInd w:val="0"/>
              <w:spacing w:after="0" w:line="240" w:lineRule="auto"/>
              <w:rPr>
                <w:rFonts w:eastAsia="Times New Roman"/>
                <w:sz w:val="22"/>
                <w:szCs w:val="22"/>
              </w:rPr>
            </w:pPr>
          </w:p>
        </w:tc>
        <w:tc>
          <w:tcPr>
            <w:tcW w:w="1530" w:type="dxa"/>
            <w:gridSpan w:val="2"/>
            <w:tcBorders>
              <w:top w:val="nil"/>
              <w:left w:val="nil"/>
              <w:bottom w:val="nil"/>
              <w:right w:val="nil"/>
            </w:tcBorders>
          </w:tcPr>
          <w:p w14:paraId="4D61CDC3" w14:textId="172B2A95"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(0.1460)</w:t>
            </w:r>
          </w:p>
        </w:tc>
        <w:tc>
          <w:tcPr>
            <w:tcW w:w="1548" w:type="dxa"/>
            <w:tcBorders>
              <w:top w:val="nil"/>
              <w:left w:val="nil"/>
              <w:bottom w:val="nil"/>
              <w:right w:val="nil"/>
            </w:tcBorders>
          </w:tcPr>
          <w:p w14:paraId="3C1F9725" w14:textId="1188118F"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(0.0364)</w:t>
            </w:r>
          </w:p>
        </w:tc>
        <w:tc>
          <w:tcPr>
            <w:tcW w:w="1656" w:type="dxa"/>
            <w:tcBorders>
              <w:top w:val="nil"/>
              <w:left w:val="nil"/>
              <w:bottom w:val="nil"/>
              <w:right w:val="nil"/>
            </w:tcBorders>
          </w:tcPr>
          <w:p w14:paraId="22F63019" w14:textId="6E24C4C5"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(0.0367)</w:t>
            </w:r>
          </w:p>
        </w:tc>
      </w:tr>
      <w:tr w:rsidR="00210574" w:rsidRPr="00B93051" w14:paraId="16028DCA" w14:textId="77777777" w:rsidTr="00210574">
        <w:tc>
          <w:tcPr>
            <w:tcW w:w="4050" w:type="dxa"/>
            <w:tcBorders>
              <w:top w:val="nil"/>
              <w:left w:val="nil"/>
              <w:bottom w:val="nil"/>
              <w:right w:val="nil"/>
            </w:tcBorders>
          </w:tcPr>
          <w:p w14:paraId="68F0D505" w14:textId="3A311FF4" w:rsidR="00210574" w:rsidRPr="00B93051" w:rsidRDefault="00210574" w:rsidP="00210574">
            <w:pPr>
              <w:widowControl w:val="0"/>
              <w:autoSpaceDE w:val="0"/>
              <w:autoSpaceDN w:val="0"/>
              <w:adjustRightInd w:val="0"/>
              <w:spacing w:after="0" w:line="240" w:lineRule="auto"/>
              <w:rPr>
                <w:rFonts w:eastAsia="Times New Roman"/>
                <w:sz w:val="22"/>
                <w:szCs w:val="22"/>
              </w:rPr>
            </w:pPr>
            <w:r>
              <w:t>Latent Ties</w:t>
            </w:r>
            <w:r w:rsidR="008A0891">
              <w:t xml:space="preserve"> </w:t>
            </w:r>
          </w:p>
        </w:tc>
        <w:tc>
          <w:tcPr>
            <w:tcW w:w="1422" w:type="dxa"/>
            <w:tcBorders>
              <w:top w:val="nil"/>
              <w:left w:val="nil"/>
              <w:bottom w:val="nil"/>
              <w:right w:val="nil"/>
            </w:tcBorders>
          </w:tcPr>
          <w:p w14:paraId="7A291135" w14:textId="11CBDD3C"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0.0753***</w:t>
            </w:r>
          </w:p>
        </w:tc>
        <w:tc>
          <w:tcPr>
            <w:tcW w:w="1656" w:type="dxa"/>
            <w:gridSpan w:val="2"/>
            <w:tcBorders>
              <w:top w:val="nil"/>
              <w:left w:val="nil"/>
              <w:bottom w:val="nil"/>
              <w:right w:val="nil"/>
            </w:tcBorders>
          </w:tcPr>
          <w:p w14:paraId="148609C7" w14:textId="0A8BE92E"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0.1273***</w:t>
            </w:r>
          </w:p>
        </w:tc>
        <w:tc>
          <w:tcPr>
            <w:tcW w:w="1656" w:type="dxa"/>
            <w:tcBorders>
              <w:top w:val="nil"/>
              <w:left w:val="nil"/>
              <w:bottom w:val="nil"/>
              <w:right w:val="nil"/>
            </w:tcBorders>
          </w:tcPr>
          <w:p w14:paraId="7531E3F1" w14:textId="444AC47B"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0.1325***</w:t>
            </w:r>
          </w:p>
        </w:tc>
      </w:tr>
      <w:tr w:rsidR="00210574" w:rsidRPr="00B93051" w14:paraId="5BD39BE6" w14:textId="77777777" w:rsidTr="00210574">
        <w:tc>
          <w:tcPr>
            <w:tcW w:w="4050" w:type="dxa"/>
            <w:tcBorders>
              <w:top w:val="nil"/>
              <w:left w:val="nil"/>
              <w:bottom w:val="nil"/>
              <w:right w:val="nil"/>
            </w:tcBorders>
          </w:tcPr>
          <w:p w14:paraId="7B062DF6" w14:textId="77777777" w:rsidR="00210574" w:rsidRPr="00B93051" w:rsidRDefault="00210574" w:rsidP="00210574">
            <w:pPr>
              <w:widowControl w:val="0"/>
              <w:autoSpaceDE w:val="0"/>
              <w:autoSpaceDN w:val="0"/>
              <w:adjustRightInd w:val="0"/>
              <w:spacing w:after="0" w:line="240" w:lineRule="auto"/>
              <w:rPr>
                <w:rFonts w:eastAsia="Times New Roman"/>
                <w:sz w:val="22"/>
                <w:szCs w:val="22"/>
              </w:rPr>
            </w:pPr>
          </w:p>
        </w:tc>
        <w:tc>
          <w:tcPr>
            <w:tcW w:w="1422" w:type="dxa"/>
            <w:tcBorders>
              <w:top w:val="nil"/>
              <w:left w:val="nil"/>
              <w:bottom w:val="nil"/>
              <w:right w:val="nil"/>
            </w:tcBorders>
          </w:tcPr>
          <w:p w14:paraId="371E1D52" w14:textId="25936981"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(0.0222)</w:t>
            </w:r>
          </w:p>
        </w:tc>
        <w:tc>
          <w:tcPr>
            <w:tcW w:w="1656" w:type="dxa"/>
            <w:gridSpan w:val="2"/>
            <w:tcBorders>
              <w:top w:val="nil"/>
              <w:left w:val="nil"/>
              <w:bottom w:val="nil"/>
              <w:right w:val="nil"/>
            </w:tcBorders>
          </w:tcPr>
          <w:p w14:paraId="19579C72" w14:textId="646E45EC"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(0.0085)</w:t>
            </w:r>
          </w:p>
        </w:tc>
        <w:tc>
          <w:tcPr>
            <w:tcW w:w="1656" w:type="dxa"/>
            <w:tcBorders>
              <w:top w:val="nil"/>
              <w:left w:val="nil"/>
              <w:bottom w:val="nil"/>
              <w:right w:val="nil"/>
            </w:tcBorders>
          </w:tcPr>
          <w:p w14:paraId="51198A18" w14:textId="62B4DCCE"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(0.0087)</w:t>
            </w:r>
          </w:p>
        </w:tc>
      </w:tr>
      <w:tr w:rsidR="00210574" w:rsidRPr="00B93051" w14:paraId="40B2DDF7" w14:textId="77777777" w:rsidTr="00210574">
        <w:tc>
          <w:tcPr>
            <w:tcW w:w="4050" w:type="dxa"/>
            <w:tcBorders>
              <w:top w:val="nil"/>
              <w:left w:val="nil"/>
              <w:bottom w:val="nil"/>
              <w:right w:val="nil"/>
            </w:tcBorders>
          </w:tcPr>
          <w:p w14:paraId="6010B6F2" w14:textId="50A3EB14" w:rsidR="00210574" w:rsidRPr="00B93051" w:rsidRDefault="00210574" w:rsidP="00210574">
            <w:pPr>
              <w:widowControl w:val="0"/>
              <w:autoSpaceDE w:val="0"/>
              <w:autoSpaceDN w:val="0"/>
              <w:adjustRightInd w:val="0"/>
              <w:spacing w:after="0" w:line="240" w:lineRule="auto"/>
              <w:rPr>
                <w:rFonts w:eastAsia="Times New Roman"/>
                <w:sz w:val="22"/>
                <w:szCs w:val="22"/>
              </w:rPr>
            </w:pPr>
            <w:r>
              <w:t>Ideological Distance</w:t>
            </w:r>
            <w:r w:rsidR="00541889" w:rsidRPr="00541889">
              <w:rPr>
                <w:highlight w:val="yellow"/>
              </w:rPr>
              <w:t xml:space="preserve"> </w:t>
            </w:r>
          </w:p>
        </w:tc>
        <w:tc>
          <w:tcPr>
            <w:tcW w:w="1422" w:type="dxa"/>
            <w:tcBorders>
              <w:top w:val="nil"/>
              <w:left w:val="nil"/>
              <w:bottom w:val="nil"/>
              <w:right w:val="nil"/>
            </w:tcBorders>
          </w:tcPr>
          <w:p w14:paraId="7C474D6F" w14:textId="23090936"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-0.0033</w:t>
            </w:r>
          </w:p>
        </w:tc>
        <w:tc>
          <w:tcPr>
            <w:tcW w:w="1656" w:type="dxa"/>
            <w:gridSpan w:val="2"/>
            <w:tcBorders>
              <w:top w:val="nil"/>
              <w:left w:val="nil"/>
              <w:bottom w:val="nil"/>
              <w:right w:val="nil"/>
            </w:tcBorders>
          </w:tcPr>
          <w:p w14:paraId="56728E43" w14:textId="70880BD5"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-0.0078**</w:t>
            </w:r>
          </w:p>
        </w:tc>
        <w:tc>
          <w:tcPr>
            <w:tcW w:w="1656" w:type="dxa"/>
            <w:tcBorders>
              <w:top w:val="nil"/>
              <w:left w:val="nil"/>
              <w:bottom w:val="nil"/>
              <w:right w:val="nil"/>
            </w:tcBorders>
          </w:tcPr>
          <w:p w14:paraId="03C892C2" w14:textId="21581524"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-0.0079**</w:t>
            </w:r>
          </w:p>
        </w:tc>
      </w:tr>
      <w:tr w:rsidR="00210574" w:rsidRPr="00B93051" w14:paraId="42288966" w14:textId="77777777" w:rsidTr="00210574">
        <w:tc>
          <w:tcPr>
            <w:tcW w:w="4050" w:type="dxa"/>
            <w:tcBorders>
              <w:top w:val="nil"/>
              <w:left w:val="nil"/>
              <w:bottom w:val="nil"/>
              <w:right w:val="nil"/>
            </w:tcBorders>
          </w:tcPr>
          <w:p w14:paraId="28FA1D21" w14:textId="77777777" w:rsidR="00210574" w:rsidRPr="00B93051" w:rsidRDefault="00210574" w:rsidP="00210574">
            <w:pPr>
              <w:widowControl w:val="0"/>
              <w:autoSpaceDE w:val="0"/>
              <w:autoSpaceDN w:val="0"/>
              <w:adjustRightInd w:val="0"/>
              <w:spacing w:after="0" w:line="240" w:lineRule="auto"/>
              <w:rPr>
                <w:rFonts w:eastAsia="Times New Roman"/>
                <w:sz w:val="22"/>
                <w:szCs w:val="22"/>
              </w:rPr>
            </w:pPr>
          </w:p>
        </w:tc>
        <w:tc>
          <w:tcPr>
            <w:tcW w:w="1422" w:type="dxa"/>
            <w:tcBorders>
              <w:top w:val="nil"/>
              <w:left w:val="nil"/>
              <w:bottom w:val="nil"/>
              <w:right w:val="nil"/>
            </w:tcBorders>
          </w:tcPr>
          <w:p w14:paraId="1E3C5102" w14:textId="0557FB70"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(0.0052)</w:t>
            </w:r>
          </w:p>
        </w:tc>
        <w:tc>
          <w:tcPr>
            <w:tcW w:w="1656" w:type="dxa"/>
            <w:gridSpan w:val="2"/>
            <w:tcBorders>
              <w:top w:val="nil"/>
              <w:left w:val="nil"/>
              <w:bottom w:val="nil"/>
              <w:right w:val="nil"/>
            </w:tcBorders>
          </w:tcPr>
          <w:p w14:paraId="0AFC8149" w14:textId="3F43EB10"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(0.0028)</w:t>
            </w:r>
          </w:p>
        </w:tc>
        <w:tc>
          <w:tcPr>
            <w:tcW w:w="1656" w:type="dxa"/>
            <w:tcBorders>
              <w:top w:val="nil"/>
              <w:left w:val="nil"/>
              <w:bottom w:val="nil"/>
              <w:right w:val="nil"/>
            </w:tcBorders>
          </w:tcPr>
          <w:p w14:paraId="13F892E8" w14:textId="564FBBB2"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(0.0028)</w:t>
            </w:r>
          </w:p>
        </w:tc>
      </w:tr>
      <w:tr w:rsidR="00210574" w:rsidRPr="00B93051" w14:paraId="28C13611" w14:textId="77777777" w:rsidTr="00210574">
        <w:tc>
          <w:tcPr>
            <w:tcW w:w="4050" w:type="dxa"/>
            <w:tcBorders>
              <w:top w:val="nil"/>
              <w:left w:val="nil"/>
              <w:bottom w:val="nil"/>
              <w:right w:val="nil"/>
            </w:tcBorders>
          </w:tcPr>
          <w:p w14:paraId="282BF3F5" w14:textId="7F2DAED5" w:rsidR="00210574" w:rsidRPr="00B93051" w:rsidRDefault="00210574" w:rsidP="00210574">
            <w:pPr>
              <w:widowControl w:val="0"/>
              <w:autoSpaceDE w:val="0"/>
              <w:autoSpaceDN w:val="0"/>
              <w:adjustRightInd w:val="0"/>
              <w:spacing w:after="0" w:line="240" w:lineRule="auto"/>
              <w:rPr>
                <w:rFonts w:eastAsia="Times New Roman"/>
                <w:sz w:val="22"/>
                <w:szCs w:val="22"/>
              </w:rPr>
            </w:pPr>
            <w:r>
              <w:t>Population</w:t>
            </w:r>
          </w:p>
        </w:tc>
        <w:tc>
          <w:tcPr>
            <w:tcW w:w="1422" w:type="dxa"/>
            <w:tcBorders>
              <w:top w:val="nil"/>
              <w:left w:val="nil"/>
              <w:bottom w:val="nil"/>
              <w:right w:val="nil"/>
            </w:tcBorders>
          </w:tcPr>
          <w:p w14:paraId="393AD90B" w14:textId="089F25DA"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0.0545</w:t>
            </w:r>
          </w:p>
        </w:tc>
        <w:tc>
          <w:tcPr>
            <w:tcW w:w="1656" w:type="dxa"/>
            <w:gridSpan w:val="2"/>
            <w:tcBorders>
              <w:top w:val="nil"/>
              <w:left w:val="nil"/>
              <w:bottom w:val="nil"/>
              <w:right w:val="nil"/>
            </w:tcBorders>
          </w:tcPr>
          <w:p w14:paraId="21A54913" w14:textId="156D6490"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0.0994***</w:t>
            </w:r>
          </w:p>
        </w:tc>
        <w:tc>
          <w:tcPr>
            <w:tcW w:w="1656" w:type="dxa"/>
            <w:tcBorders>
              <w:top w:val="nil"/>
              <w:left w:val="nil"/>
              <w:bottom w:val="nil"/>
              <w:right w:val="nil"/>
            </w:tcBorders>
          </w:tcPr>
          <w:p w14:paraId="5CF11BB7" w14:textId="41CEA44D"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0.0998***</w:t>
            </w:r>
          </w:p>
        </w:tc>
      </w:tr>
      <w:tr w:rsidR="00210574" w:rsidRPr="00B93051" w14:paraId="4A112008" w14:textId="77777777" w:rsidTr="00210574">
        <w:tc>
          <w:tcPr>
            <w:tcW w:w="4050" w:type="dxa"/>
            <w:tcBorders>
              <w:top w:val="nil"/>
              <w:left w:val="nil"/>
              <w:bottom w:val="nil"/>
              <w:right w:val="nil"/>
            </w:tcBorders>
          </w:tcPr>
          <w:p w14:paraId="1743E3F3" w14:textId="77777777" w:rsidR="00210574" w:rsidRPr="00B93051" w:rsidRDefault="00210574" w:rsidP="00210574">
            <w:pPr>
              <w:widowControl w:val="0"/>
              <w:autoSpaceDE w:val="0"/>
              <w:autoSpaceDN w:val="0"/>
              <w:adjustRightInd w:val="0"/>
              <w:spacing w:after="0" w:line="240" w:lineRule="auto"/>
              <w:rPr>
                <w:rFonts w:eastAsia="Times New Roman"/>
                <w:sz w:val="22"/>
                <w:szCs w:val="22"/>
              </w:rPr>
            </w:pPr>
          </w:p>
        </w:tc>
        <w:tc>
          <w:tcPr>
            <w:tcW w:w="1422" w:type="dxa"/>
            <w:tcBorders>
              <w:top w:val="nil"/>
              <w:left w:val="nil"/>
              <w:bottom w:val="nil"/>
              <w:right w:val="nil"/>
            </w:tcBorders>
          </w:tcPr>
          <w:p w14:paraId="228C967B" w14:textId="27C4DB78"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(0.0355)</w:t>
            </w:r>
          </w:p>
        </w:tc>
        <w:tc>
          <w:tcPr>
            <w:tcW w:w="1656" w:type="dxa"/>
            <w:gridSpan w:val="2"/>
            <w:tcBorders>
              <w:top w:val="nil"/>
              <w:left w:val="nil"/>
              <w:bottom w:val="nil"/>
              <w:right w:val="nil"/>
            </w:tcBorders>
          </w:tcPr>
          <w:p w14:paraId="06759ED1" w14:textId="7B4DBD97"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(0.0180)</w:t>
            </w:r>
          </w:p>
        </w:tc>
        <w:tc>
          <w:tcPr>
            <w:tcW w:w="1656" w:type="dxa"/>
            <w:tcBorders>
              <w:top w:val="nil"/>
              <w:left w:val="nil"/>
              <w:bottom w:val="nil"/>
              <w:right w:val="nil"/>
            </w:tcBorders>
          </w:tcPr>
          <w:p w14:paraId="695A58E4" w14:textId="780E980E" w:rsidR="00210574" w:rsidRPr="00B93051" w:rsidRDefault="00210574" w:rsidP="00210574">
            <w:pPr>
              <w:widowControl w:val="0"/>
              <w:autoSpaceDE w:val="0"/>
              <w:autoSpaceDN w:val="0"/>
              <w:adjustRightInd w:val="0"/>
              <w:spacing w:after="0" w:line="240" w:lineRule="auto"/>
              <w:jc w:val="center"/>
              <w:rPr>
                <w:rFonts w:eastAsia="Times New Roman"/>
                <w:sz w:val="22"/>
                <w:szCs w:val="22"/>
              </w:rPr>
            </w:pPr>
            <w:r>
              <w:t>(0.0182)</w:t>
            </w:r>
          </w:p>
        </w:tc>
      </w:tr>
      <w:tr w:rsidR="007737F8" w:rsidRPr="00B93051" w14:paraId="0C68CF28" w14:textId="77777777" w:rsidTr="00210574">
        <w:tc>
          <w:tcPr>
            <w:tcW w:w="4050" w:type="dxa"/>
            <w:tcBorders>
              <w:top w:val="nil"/>
              <w:left w:val="nil"/>
              <w:bottom w:val="nil"/>
              <w:right w:val="nil"/>
            </w:tcBorders>
          </w:tcPr>
          <w:p w14:paraId="0E06C0C1" w14:textId="1DD006DC" w:rsidR="007737F8" w:rsidRPr="00E9608E" w:rsidRDefault="00E9608E" w:rsidP="007737F8">
            <w:pPr>
              <w:widowControl w:val="0"/>
              <w:autoSpaceDE w:val="0"/>
              <w:autoSpaceDN w:val="0"/>
              <w:adjustRightInd w:val="0"/>
              <w:spacing w:after="0" w:line="240" w:lineRule="auto"/>
              <w:rPr>
                <w:rFonts w:eastAsia="Times New Roman"/>
                <w:sz w:val="22"/>
                <w:szCs w:val="22"/>
              </w:rPr>
            </w:pPr>
            <w:r w:rsidRPr="00E9608E">
              <w:t xml:space="preserve">Public </w:t>
            </w:r>
            <w:r w:rsidR="007737F8" w:rsidRPr="00E9608E">
              <w:t xml:space="preserve"> Liberalism</w:t>
            </w:r>
          </w:p>
        </w:tc>
        <w:tc>
          <w:tcPr>
            <w:tcW w:w="1422" w:type="dxa"/>
            <w:tcBorders>
              <w:top w:val="nil"/>
              <w:left w:val="nil"/>
              <w:bottom w:val="nil"/>
              <w:right w:val="nil"/>
            </w:tcBorders>
          </w:tcPr>
          <w:p w14:paraId="341D6A88" w14:textId="5C05462F"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0.0291</w:t>
            </w:r>
          </w:p>
        </w:tc>
        <w:tc>
          <w:tcPr>
            <w:tcW w:w="1656" w:type="dxa"/>
            <w:gridSpan w:val="2"/>
            <w:tcBorders>
              <w:top w:val="nil"/>
              <w:left w:val="nil"/>
              <w:bottom w:val="nil"/>
              <w:right w:val="nil"/>
            </w:tcBorders>
          </w:tcPr>
          <w:p w14:paraId="678CA2A5" w14:textId="45587E11"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0.1515***</w:t>
            </w:r>
          </w:p>
        </w:tc>
        <w:tc>
          <w:tcPr>
            <w:tcW w:w="1656" w:type="dxa"/>
            <w:tcBorders>
              <w:top w:val="nil"/>
              <w:left w:val="nil"/>
              <w:bottom w:val="nil"/>
              <w:right w:val="nil"/>
            </w:tcBorders>
          </w:tcPr>
          <w:p w14:paraId="19487979" w14:textId="016D1116"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0.1474***</w:t>
            </w:r>
          </w:p>
        </w:tc>
      </w:tr>
      <w:tr w:rsidR="007737F8" w:rsidRPr="00B93051" w14:paraId="66A558DF" w14:textId="77777777" w:rsidTr="00210574">
        <w:tc>
          <w:tcPr>
            <w:tcW w:w="4050" w:type="dxa"/>
            <w:tcBorders>
              <w:top w:val="nil"/>
              <w:left w:val="nil"/>
              <w:bottom w:val="nil"/>
              <w:right w:val="nil"/>
            </w:tcBorders>
          </w:tcPr>
          <w:p w14:paraId="2BDFEDDA" w14:textId="77777777" w:rsidR="007737F8" w:rsidRPr="00E9608E" w:rsidRDefault="007737F8" w:rsidP="007737F8">
            <w:pPr>
              <w:widowControl w:val="0"/>
              <w:autoSpaceDE w:val="0"/>
              <w:autoSpaceDN w:val="0"/>
              <w:adjustRightInd w:val="0"/>
              <w:spacing w:after="0" w:line="240" w:lineRule="auto"/>
              <w:rPr>
                <w:rFonts w:eastAsia="Times New Roman"/>
                <w:sz w:val="22"/>
                <w:szCs w:val="22"/>
              </w:rPr>
            </w:pPr>
          </w:p>
        </w:tc>
        <w:tc>
          <w:tcPr>
            <w:tcW w:w="1422" w:type="dxa"/>
            <w:tcBorders>
              <w:top w:val="nil"/>
              <w:left w:val="nil"/>
              <w:bottom w:val="nil"/>
              <w:right w:val="nil"/>
            </w:tcBorders>
          </w:tcPr>
          <w:p w14:paraId="48B48023" w14:textId="2478F7F0"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(0.0368)</w:t>
            </w:r>
          </w:p>
        </w:tc>
        <w:tc>
          <w:tcPr>
            <w:tcW w:w="1656" w:type="dxa"/>
            <w:gridSpan w:val="2"/>
            <w:tcBorders>
              <w:top w:val="nil"/>
              <w:left w:val="nil"/>
              <w:bottom w:val="nil"/>
              <w:right w:val="nil"/>
            </w:tcBorders>
          </w:tcPr>
          <w:p w14:paraId="4FA4A48B" w14:textId="7486A153"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(0.0205)</w:t>
            </w:r>
          </w:p>
        </w:tc>
        <w:tc>
          <w:tcPr>
            <w:tcW w:w="1656" w:type="dxa"/>
            <w:tcBorders>
              <w:top w:val="nil"/>
              <w:left w:val="nil"/>
              <w:bottom w:val="nil"/>
              <w:right w:val="nil"/>
            </w:tcBorders>
          </w:tcPr>
          <w:p w14:paraId="7A493C90" w14:textId="3AF134BC"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(0.0208)</w:t>
            </w:r>
          </w:p>
        </w:tc>
      </w:tr>
      <w:tr w:rsidR="007737F8" w:rsidRPr="00B93051" w14:paraId="22F16E1F" w14:textId="77777777" w:rsidTr="00210574">
        <w:tc>
          <w:tcPr>
            <w:tcW w:w="4050" w:type="dxa"/>
            <w:tcBorders>
              <w:top w:val="nil"/>
              <w:left w:val="nil"/>
              <w:bottom w:val="nil"/>
              <w:right w:val="nil"/>
            </w:tcBorders>
          </w:tcPr>
          <w:p w14:paraId="704F46E3" w14:textId="02031DCA" w:rsidR="007737F8" w:rsidRPr="00E9608E" w:rsidRDefault="007737F8" w:rsidP="007737F8">
            <w:pPr>
              <w:widowControl w:val="0"/>
              <w:autoSpaceDE w:val="0"/>
              <w:autoSpaceDN w:val="0"/>
              <w:adjustRightInd w:val="0"/>
              <w:spacing w:after="0" w:line="240" w:lineRule="auto"/>
              <w:rPr>
                <w:rFonts w:eastAsia="Times New Roman"/>
                <w:sz w:val="22"/>
                <w:szCs w:val="22"/>
              </w:rPr>
            </w:pPr>
            <w:r w:rsidRPr="00E9608E">
              <w:t>Unified Party Control</w:t>
            </w:r>
          </w:p>
        </w:tc>
        <w:tc>
          <w:tcPr>
            <w:tcW w:w="1422" w:type="dxa"/>
            <w:tcBorders>
              <w:top w:val="nil"/>
              <w:left w:val="nil"/>
              <w:bottom w:val="nil"/>
              <w:right w:val="nil"/>
            </w:tcBorders>
          </w:tcPr>
          <w:p w14:paraId="2C5F778A" w14:textId="179DAB27"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0.0482</w:t>
            </w:r>
          </w:p>
        </w:tc>
        <w:tc>
          <w:tcPr>
            <w:tcW w:w="1656" w:type="dxa"/>
            <w:gridSpan w:val="2"/>
            <w:tcBorders>
              <w:top w:val="nil"/>
              <w:left w:val="nil"/>
              <w:bottom w:val="nil"/>
              <w:right w:val="nil"/>
            </w:tcBorders>
          </w:tcPr>
          <w:p w14:paraId="6579B363" w14:textId="3B06B12A"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-0.0153</w:t>
            </w:r>
          </w:p>
        </w:tc>
        <w:tc>
          <w:tcPr>
            <w:tcW w:w="1656" w:type="dxa"/>
            <w:tcBorders>
              <w:top w:val="nil"/>
              <w:left w:val="nil"/>
              <w:bottom w:val="nil"/>
              <w:right w:val="nil"/>
            </w:tcBorders>
          </w:tcPr>
          <w:p w14:paraId="08E3B708" w14:textId="1CBC656F"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-0.0100</w:t>
            </w:r>
          </w:p>
        </w:tc>
      </w:tr>
      <w:tr w:rsidR="007737F8" w:rsidRPr="00B93051" w14:paraId="20DB82D4" w14:textId="77777777" w:rsidTr="00210574">
        <w:tc>
          <w:tcPr>
            <w:tcW w:w="4050" w:type="dxa"/>
            <w:tcBorders>
              <w:top w:val="nil"/>
              <w:left w:val="nil"/>
              <w:bottom w:val="nil"/>
              <w:right w:val="nil"/>
            </w:tcBorders>
          </w:tcPr>
          <w:p w14:paraId="231A684A" w14:textId="77777777" w:rsidR="007737F8" w:rsidRPr="00E9608E" w:rsidRDefault="007737F8" w:rsidP="007737F8">
            <w:pPr>
              <w:widowControl w:val="0"/>
              <w:autoSpaceDE w:val="0"/>
              <w:autoSpaceDN w:val="0"/>
              <w:adjustRightInd w:val="0"/>
              <w:spacing w:after="0" w:line="240" w:lineRule="auto"/>
              <w:rPr>
                <w:rFonts w:eastAsia="Times New Roman"/>
                <w:sz w:val="22"/>
                <w:szCs w:val="22"/>
              </w:rPr>
            </w:pPr>
          </w:p>
        </w:tc>
        <w:tc>
          <w:tcPr>
            <w:tcW w:w="1422" w:type="dxa"/>
            <w:tcBorders>
              <w:top w:val="nil"/>
              <w:left w:val="nil"/>
              <w:bottom w:val="nil"/>
              <w:right w:val="nil"/>
            </w:tcBorders>
          </w:tcPr>
          <w:p w14:paraId="471FAE3B" w14:textId="53719B2D"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(0.0552)</w:t>
            </w:r>
          </w:p>
        </w:tc>
        <w:tc>
          <w:tcPr>
            <w:tcW w:w="1656" w:type="dxa"/>
            <w:gridSpan w:val="2"/>
            <w:tcBorders>
              <w:top w:val="nil"/>
              <w:left w:val="nil"/>
              <w:bottom w:val="nil"/>
              <w:right w:val="nil"/>
            </w:tcBorders>
          </w:tcPr>
          <w:p w14:paraId="256BF4FD" w14:textId="61F6CA06"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(0.0254)</w:t>
            </w:r>
          </w:p>
        </w:tc>
        <w:tc>
          <w:tcPr>
            <w:tcW w:w="1656" w:type="dxa"/>
            <w:tcBorders>
              <w:top w:val="nil"/>
              <w:left w:val="nil"/>
              <w:bottom w:val="nil"/>
              <w:right w:val="nil"/>
            </w:tcBorders>
          </w:tcPr>
          <w:p w14:paraId="39A24270" w14:textId="523E5444"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(0.0258)</w:t>
            </w:r>
          </w:p>
        </w:tc>
      </w:tr>
      <w:tr w:rsidR="007737F8" w:rsidRPr="00B93051" w14:paraId="39603D06" w14:textId="77777777" w:rsidTr="00210574">
        <w:tc>
          <w:tcPr>
            <w:tcW w:w="4050" w:type="dxa"/>
            <w:tcBorders>
              <w:top w:val="nil"/>
              <w:left w:val="nil"/>
              <w:bottom w:val="nil"/>
              <w:right w:val="nil"/>
            </w:tcBorders>
          </w:tcPr>
          <w:p w14:paraId="2036C513" w14:textId="219F9448" w:rsidR="007737F8" w:rsidRPr="00E9608E" w:rsidRDefault="007737F8" w:rsidP="007737F8">
            <w:pPr>
              <w:widowControl w:val="0"/>
              <w:autoSpaceDE w:val="0"/>
              <w:autoSpaceDN w:val="0"/>
              <w:adjustRightInd w:val="0"/>
              <w:spacing w:after="0" w:line="240" w:lineRule="auto"/>
              <w:rPr>
                <w:rFonts w:eastAsia="Times New Roman"/>
                <w:sz w:val="22"/>
                <w:szCs w:val="22"/>
              </w:rPr>
            </w:pPr>
            <w:r w:rsidRPr="00E9608E">
              <w:t>Income Per Capita</w:t>
            </w:r>
          </w:p>
        </w:tc>
        <w:tc>
          <w:tcPr>
            <w:tcW w:w="1422" w:type="dxa"/>
            <w:tcBorders>
              <w:top w:val="nil"/>
              <w:left w:val="nil"/>
              <w:bottom w:val="nil"/>
              <w:right w:val="nil"/>
            </w:tcBorders>
          </w:tcPr>
          <w:p w14:paraId="70333D5F" w14:textId="144BB8B0"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-0.1065**</w:t>
            </w:r>
          </w:p>
        </w:tc>
        <w:tc>
          <w:tcPr>
            <w:tcW w:w="1656" w:type="dxa"/>
            <w:gridSpan w:val="2"/>
            <w:tcBorders>
              <w:top w:val="nil"/>
              <w:left w:val="nil"/>
              <w:bottom w:val="nil"/>
              <w:right w:val="nil"/>
            </w:tcBorders>
          </w:tcPr>
          <w:p w14:paraId="78C64CAF" w14:textId="639D07FB"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-0.0673**</w:t>
            </w:r>
          </w:p>
        </w:tc>
        <w:tc>
          <w:tcPr>
            <w:tcW w:w="1656" w:type="dxa"/>
            <w:tcBorders>
              <w:top w:val="nil"/>
              <w:left w:val="nil"/>
              <w:bottom w:val="nil"/>
              <w:right w:val="nil"/>
            </w:tcBorders>
          </w:tcPr>
          <w:p w14:paraId="6A78DA6B" w14:textId="5CD4F48D"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-0.0724**</w:t>
            </w:r>
          </w:p>
        </w:tc>
      </w:tr>
      <w:tr w:rsidR="007737F8" w:rsidRPr="00B93051" w14:paraId="7B216529" w14:textId="77777777" w:rsidTr="00210574">
        <w:tc>
          <w:tcPr>
            <w:tcW w:w="4050" w:type="dxa"/>
            <w:tcBorders>
              <w:top w:val="nil"/>
              <w:left w:val="nil"/>
              <w:bottom w:val="nil"/>
              <w:right w:val="nil"/>
            </w:tcBorders>
          </w:tcPr>
          <w:p w14:paraId="3C11D636" w14:textId="77777777" w:rsidR="007737F8" w:rsidRPr="00E9608E" w:rsidRDefault="007737F8" w:rsidP="007737F8">
            <w:pPr>
              <w:widowControl w:val="0"/>
              <w:autoSpaceDE w:val="0"/>
              <w:autoSpaceDN w:val="0"/>
              <w:adjustRightInd w:val="0"/>
              <w:spacing w:after="0" w:line="240" w:lineRule="auto"/>
              <w:rPr>
                <w:rFonts w:eastAsia="Times New Roman"/>
                <w:sz w:val="22"/>
                <w:szCs w:val="22"/>
              </w:rPr>
            </w:pPr>
          </w:p>
        </w:tc>
        <w:tc>
          <w:tcPr>
            <w:tcW w:w="1422" w:type="dxa"/>
            <w:tcBorders>
              <w:top w:val="nil"/>
              <w:left w:val="nil"/>
              <w:bottom w:val="nil"/>
              <w:right w:val="nil"/>
            </w:tcBorders>
          </w:tcPr>
          <w:p w14:paraId="1353B6F4" w14:textId="296875D5"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(0.0424)</w:t>
            </w:r>
          </w:p>
        </w:tc>
        <w:tc>
          <w:tcPr>
            <w:tcW w:w="1656" w:type="dxa"/>
            <w:gridSpan w:val="2"/>
            <w:tcBorders>
              <w:top w:val="nil"/>
              <w:left w:val="nil"/>
              <w:bottom w:val="nil"/>
              <w:right w:val="nil"/>
            </w:tcBorders>
          </w:tcPr>
          <w:p w14:paraId="0D9E603F" w14:textId="06F3DDF5"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(0.0240)</w:t>
            </w:r>
          </w:p>
        </w:tc>
        <w:tc>
          <w:tcPr>
            <w:tcW w:w="1656" w:type="dxa"/>
            <w:tcBorders>
              <w:top w:val="nil"/>
              <w:left w:val="nil"/>
              <w:bottom w:val="nil"/>
              <w:right w:val="nil"/>
            </w:tcBorders>
          </w:tcPr>
          <w:p w14:paraId="0FDF0DCF" w14:textId="3516FFDB"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(0.0245)</w:t>
            </w:r>
          </w:p>
        </w:tc>
      </w:tr>
      <w:tr w:rsidR="007737F8" w:rsidRPr="00B93051" w14:paraId="63FFA8BB" w14:textId="77777777" w:rsidTr="00210574">
        <w:tc>
          <w:tcPr>
            <w:tcW w:w="4050" w:type="dxa"/>
            <w:tcBorders>
              <w:top w:val="nil"/>
              <w:left w:val="nil"/>
              <w:bottom w:val="nil"/>
              <w:right w:val="nil"/>
            </w:tcBorders>
          </w:tcPr>
          <w:p w14:paraId="4B32C11E" w14:textId="2B0200C4" w:rsidR="007737F8" w:rsidRPr="00E9608E" w:rsidRDefault="007737F8" w:rsidP="007737F8">
            <w:pPr>
              <w:widowControl w:val="0"/>
              <w:autoSpaceDE w:val="0"/>
              <w:autoSpaceDN w:val="0"/>
              <w:adjustRightInd w:val="0"/>
              <w:spacing w:after="0" w:line="240" w:lineRule="auto"/>
              <w:rPr>
                <w:rFonts w:eastAsia="Times New Roman"/>
                <w:sz w:val="22"/>
                <w:szCs w:val="22"/>
              </w:rPr>
            </w:pPr>
            <w:r w:rsidRPr="00E9608E">
              <w:t>Legislative Professionalism</w:t>
            </w:r>
          </w:p>
        </w:tc>
        <w:tc>
          <w:tcPr>
            <w:tcW w:w="1422" w:type="dxa"/>
            <w:tcBorders>
              <w:top w:val="nil"/>
              <w:left w:val="nil"/>
              <w:bottom w:val="nil"/>
              <w:right w:val="nil"/>
            </w:tcBorders>
          </w:tcPr>
          <w:p w14:paraId="7527730A" w14:textId="78739A72"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-0.0865*</w:t>
            </w:r>
          </w:p>
        </w:tc>
        <w:tc>
          <w:tcPr>
            <w:tcW w:w="1656" w:type="dxa"/>
            <w:gridSpan w:val="2"/>
            <w:tcBorders>
              <w:top w:val="nil"/>
              <w:left w:val="nil"/>
              <w:bottom w:val="nil"/>
              <w:right w:val="nil"/>
            </w:tcBorders>
          </w:tcPr>
          <w:p w14:paraId="057529FE" w14:textId="3DBD091C"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-0.1019***</w:t>
            </w:r>
          </w:p>
        </w:tc>
        <w:tc>
          <w:tcPr>
            <w:tcW w:w="1656" w:type="dxa"/>
            <w:tcBorders>
              <w:top w:val="nil"/>
              <w:left w:val="nil"/>
              <w:bottom w:val="nil"/>
              <w:right w:val="nil"/>
            </w:tcBorders>
          </w:tcPr>
          <w:p w14:paraId="7AD8A35A" w14:textId="39E0BD33"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-0.0998***</w:t>
            </w:r>
          </w:p>
        </w:tc>
      </w:tr>
      <w:tr w:rsidR="007737F8" w:rsidRPr="00B93051" w14:paraId="4F43269D" w14:textId="77777777" w:rsidTr="00210574">
        <w:tc>
          <w:tcPr>
            <w:tcW w:w="4050" w:type="dxa"/>
            <w:tcBorders>
              <w:top w:val="nil"/>
              <w:left w:val="nil"/>
              <w:bottom w:val="nil"/>
              <w:right w:val="nil"/>
            </w:tcBorders>
          </w:tcPr>
          <w:p w14:paraId="61F903A5" w14:textId="77777777" w:rsidR="007737F8" w:rsidRPr="00E9608E" w:rsidRDefault="007737F8" w:rsidP="007737F8">
            <w:pPr>
              <w:widowControl w:val="0"/>
              <w:autoSpaceDE w:val="0"/>
              <w:autoSpaceDN w:val="0"/>
              <w:adjustRightInd w:val="0"/>
              <w:spacing w:after="0" w:line="240" w:lineRule="auto"/>
              <w:rPr>
                <w:rFonts w:eastAsia="Times New Roman"/>
                <w:sz w:val="22"/>
                <w:szCs w:val="22"/>
                <w:highlight w:val="yellow"/>
              </w:rPr>
            </w:pPr>
          </w:p>
        </w:tc>
        <w:tc>
          <w:tcPr>
            <w:tcW w:w="1422" w:type="dxa"/>
            <w:tcBorders>
              <w:top w:val="nil"/>
              <w:left w:val="nil"/>
              <w:bottom w:val="nil"/>
              <w:right w:val="nil"/>
            </w:tcBorders>
          </w:tcPr>
          <w:p w14:paraId="290DB87E" w14:textId="5BB6F8E6"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(0.0453)</w:t>
            </w:r>
          </w:p>
        </w:tc>
        <w:tc>
          <w:tcPr>
            <w:tcW w:w="1656" w:type="dxa"/>
            <w:gridSpan w:val="2"/>
            <w:tcBorders>
              <w:top w:val="nil"/>
              <w:left w:val="nil"/>
              <w:bottom w:val="nil"/>
              <w:right w:val="nil"/>
            </w:tcBorders>
          </w:tcPr>
          <w:p w14:paraId="0E6B94AA" w14:textId="214C96C7"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(0.0213)</w:t>
            </w:r>
          </w:p>
        </w:tc>
        <w:tc>
          <w:tcPr>
            <w:tcW w:w="1656" w:type="dxa"/>
            <w:tcBorders>
              <w:top w:val="nil"/>
              <w:left w:val="nil"/>
              <w:bottom w:val="nil"/>
              <w:right w:val="nil"/>
            </w:tcBorders>
          </w:tcPr>
          <w:p w14:paraId="5032FDE5" w14:textId="680E76A0"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(0.0216)</w:t>
            </w:r>
          </w:p>
        </w:tc>
      </w:tr>
      <w:tr w:rsidR="007737F8" w:rsidRPr="00B93051" w14:paraId="49AC3135" w14:textId="77777777" w:rsidTr="00210574">
        <w:tc>
          <w:tcPr>
            <w:tcW w:w="4050" w:type="dxa"/>
            <w:tcBorders>
              <w:top w:val="nil"/>
              <w:left w:val="nil"/>
              <w:bottom w:val="nil"/>
              <w:right w:val="nil"/>
            </w:tcBorders>
          </w:tcPr>
          <w:p w14:paraId="5E2D2881" w14:textId="4EE66277" w:rsidR="007737F8" w:rsidRPr="00E9608E" w:rsidRDefault="007737F8" w:rsidP="007737F8">
            <w:pPr>
              <w:widowControl w:val="0"/>
              <w:autoSpaceDE w:val="0"/>
              <w:autoSpaceDN w:val="0"/>
              <w:adjustRightInd w:val="0"/>
              <w:spacing w:after="0" w:line="240" w:lineRule="auto"/>
              <w:rPr>
                <w:rFonts w:eastAsia="Times New Roman"/>
                <w:sz w:val="22"/>
                <w:szCs w:val="22"/>
                <w:highlight w:val="yellow"/>
              </w:rPr>
            </w:pPr>
            <w:r w:rsidRPr="00E9608E">
              <w:t>Proportion Black</w:t>
            </w:r>
          </w:p>
        </w:tc>
        <w:tc>
          <w:tcPr>
            <w:tcW w:w="1422" w:type="dxa"/>
            <w:tcBorders>
              <w:top w:val="nil"/>
              <w:left w:val="nil"/>
              <w:bottom w:val="nil"/>
              <w:right w:val="nil"/>
            </w:tcBorders>
          </w:tcPr>
          <w:p w14:paraId="0577C40B" w14:textId="32FB8027"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-0.0084</w:t>
            </w:r>
          </w:p>
        </w:tc>
        <w:tc>
          <w:tcPr>
            <w:tcW w:w="1656" w:type="dxa"/>
            <w:gridSpan w:val="2"/>
            <w:tcBorders>
              <w:top w:val="nil"/>
              <w:left w:val="nil"/>
              <w:bottom w:val="nil"/>
              <w:right w:val="nil"/>
            </w:tcBorders>
          </w:tcPr>
          <w:p w14:paraId="5EA8920A" w14:textId="6D43BC7F"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0.0085***</w:t>
            </w:r>
          </w:p>
        </w:tc>
        <w:tc>
          <w:tcPr>
            <w:tcW w:w="1656" w:type="dxa"/>
            <w:tcBorders>
              <w:top w:val="nil"/>
              <w:left w:val="nil"/>
              <w:bottom w:val="nil"/>
              <w:right w:val="nil"/>
            </w:tcBorders>
          </w:tcPr>
          <w:p w14:paraId="03F784BE" w14:textId="4788581C"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0.0093***</w:t>
            </w:r>
          </w:p>
        </w:tc>
      </w:tr>
      <w:tr w:rsidR="007737F8" w:rsidRPr="00B93051" w14:paraId="21A853A5" w14:textId="77777777" w:rsidTr="00210574">
        <w:tc>
          <w:tcPr>
            <w:tcW w:w="4050" w:type="dxa"/>
            <w:tcBorders>
              <w:top w:val="nil"/>
              <w:left w:val="nil"/>
              <w:bottom w:val="nil"/>
              <w:right w:val="nil"/>
            </w:tcBorders>
          </w:tcPr>
          <w:p w14:paraId="6DE8A354" w14:textId="77777777" w:rsidR="007737F8" w:rsidRPr="00B93051" w:rsidRDefault="007737F8" w:rsidP="007737F8">
            <w:pPr>
              <w:widowControl w:val="0"/>
              <w:autoSpaceDE w:val="0"/>
              <w:autoSpaceDN w:val="0"/>
              <w:adjustRightInd w:val="0"/>
              <w:spacing w:after="0" w:line="240" w:lineRule="auto"/>
              <w:rPr>
                <w:rFonts w:eastAsia="Times New Roman"/>
                <w:sz w:val="22"/>
                <w:szCs w:val="22"/>
              </w:rPr>
            </w:pPr>
          </w:p>
        </w:tc>
        <w:tc>
          <w:tcPr>
            <w:tcW w:w="1422" w:type="dxa"/>
            <w:tcBorders>
              <w:top w:val="nil"/>
              <w:left w:val="nil"/>
              <w:bottom w:val="nil"/>
              <w:right w:val="nil"/>
            </w:tcBorders>
          </w:tcPr>
          <w:p w14:paraId="10CECEFF" w14:textId="73EECE8B"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(0.0156)</w:t>
            </w:r>
          </w:p>
        </w:tc>
        <w:tc>
          <w:tcPr>
            <w:tcW w:w="1656" w:type="dxa"/>
            <w:gridSpan w:val="2"/>
            <w:tcBorders>
              <w:top w:val="nil"/>
              <w:left w:val="nil"/>
              <w:bottom w:val="nil"/>
              <w:right w:val="nil"/>
            </w:tcBorders>
          </w:tcPr>
          <w:p w14:paraId="68E7BB51" w14:textId="7FA267AC"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(0.0024)</w:t>
            </w:r>
          </w:p>
        </w:tc>
        <w:tc>
          <w:tcPr>
            <w:tcW w:w="1656" w:type="dxa"/>
            <w:tcBorders>
              <w:top w:val="nil"/>
              <w:left w:val="nil"/>
              <w:bottom w:val="nil"/>
              <w:right w:val="nil"/>
            </w:tcBorders>
          </w:tcPr>
          <w:p w14:paraId="1D09F27C" w14:textId="315F858B"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(0.0025)</w:t>
            </w:r>
          </w:p>
        </w:tc>
      </w:tr>
      <w:tr w:rsidR="007737F8" w:rsidRPr="00B93051" w14:paraId="68D0A7B4" w14:textId="77777777" w:rsidTr="00210574">
        <w:tc>
          <w:tcPr>
            <w:tcW w:w="4050" w:type="dxa"/>
            <w:tcBorders>
              <w:top w:val="nil"/>
              <w:left w:val="nil"/>
              <w:bottom w:val="nil"/>
              <w:right w:val="nil"/>
            </w:tcBorders>
          </w:tcPr>
          <w:p w14:paraId="519D9730" w14:textId="76ED9F5B" w:rsidR="007737F8" w:rsidRPr="00B93051" w:rsidRDefault="007737F8" w:rsidP="007737F8">
            <w:pPr>
              <w:widowControl w:val="0"/>
              <w:autoSpaceDE w:val="0"/>
              <w:autoSpaceDN w:val="0"/>
              <w:adjustRightInd w:val="0"/>
              <w:spacing w:after="0" w:line="240" w:lineRule="auto"/>
              <w:rPr>
                <w:rFonts w:eastAsia="Times New Roman"/>
                <w:sz w:val="22"/>
                <w:szCs w:val="22"/>
              </w:rPr>
            </w:pPr>
            <w:r>
              <w:t>Percent High School</w:t>
            </w:r>
          </w:p>
        </w:tc>
        <w:tc>
          <w:tcPr>
            <w:tcW w:w="1422" w:type="dxa"/>
            <w:tcBorders>
              <w:top w:val="nil"/>
              <w:left w:val="nil"/>
              <w:bottom w:val="nil"/>
              <w:right w:val="nil"/>
            </w:tcBorders>
          </w:tcPr>
          <w:p w14:paraId="25BDF9C3" w14:textId="567DDA6F"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0.0112</w:t>
            </w:r>
          </w:p>
        </w:tc>
        <w:tc>
          <w:tcPr>
            <w:tcW w:w="1656" w:type="dxa"/>
            <w:gridSpan w:val="2"/>
            <w:tcBorders>
              <w:top w:val="nil"/>
              <w:left w:val="nil"/>
              <w:bottom w:val="nil"/>
              <w:right w:val="nil"/>
            </w:tcBorders>
          </w:tcPr>
          <w:p w14:paraId="042361D8" w14:textId="5193C928"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0.0182***</w:t>
            </w:r>
          </w:p>
        </w:tc>
        <w:tc>
          <w:tcPr>
            <w:tcW w:w="1656" w:type="dxa"/>
            <w:tcBorders>
              <w:top w:val="nil"/>
              <w:left w:val="nil"/>
              <w:bottom w:val="nil"/>
              <w:right w:val="nil"/>
            </w:tcBorders>
          </w:tcPr>
          <w:p w14:paraId="5C6D5131" w14:textId="5E1DA3EA"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0.0197***</w:t>
            </w:r>
          </w:p>
        </w:tc>
      </w:tr>
      <w:tr w:rsidR="007737F8" w:rsidRPr="00B93051" w14:paraId="4ACCE283" w14:textId="77777777" w:rsidTr="00210574">
        <w:tc>
          <w:tcPr>
            <w:tcW w:w="4050" w:type="dxa"/>
            <w:tcBorders>
              <w:top w:val="nil"/>
              <w:left w:val="nil"/>
              <w:bottom w:val="nil"/>
              <w:right w:val="nil"/>
            </w:tcBorders>
          </w:tcPr>
          <w:p w14:paraId="27BE9B9A" w14:textId="77777777" w:rsidR="007737F8" w:rsidRPr="00B93051" w:rsidRDefault="007737F8" w:rsidP="007737F8">
            <w:pPr>
              <w:widowControl w:val="0"/>
              <w:autoSpaceDE w:val="0"/>
              <w:autoSpaceDN w:val="0"/>
              <w:adjustRightInd w:val="0"/>
              <w:spacing w:after="0" w:line="240" w:lineRule="auto"/>
              <w:rPr>
                <w:rFonts w:eastAsia="Times New Roman"/>
                <w:sz w:val="22"/>
                <w:szCs w:val="22"/>
              </w:rPr>
            </w:pPr>
          </w:p>
        </w:tc>
        <w:tc>
          <w:tcPr>
            <w:tcW w:w="1422" w:type="dxa"/>
            <w:tcBorders>
              <w:top w:val="nil"/>
              <w:left w:val="nil"/>
              <w:bottom w:val="nil"/>
              <w:right w:val="nil"/>
            </w:tcBorders>
          </w:tcPr>
          <w:p w14:paraId="56643C69" w14:textId="7BD374AA"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(0.0109)</w:t>
            </w:r>
          </w:p>
        </w:tc>
        <w:tc>
          <w:tcPr>
            <w:tcW w:w="1656" w:type="dxa"/>
            <w:gridSpan w:val="2"/>
            <w:tcBorders>
              <w:top w:val="nil"/>
              <w:left w:val="nil"/>
              <w:bottom w:val="nil"/>
              <w:right w:val="nil"/>
            </w:tcBorders>
          </w:tcPr>
          <w:p w14:paraId="5E6E5D56" w14:textId="0F899B04"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(0.0035)</w:t>
            </w:r>
          </w:p>
        </w:tc>
        <w:tc>
          <w:tcPr>
            <w:tcW w:w="1656" w:type="dxa"/>
            <w:tcBorders>
              <w:top w:val="nil"/>
              <w:left w:val="nil"/>
              <w:bottom w:val="nil"/>
              <w:right w:val="nil"/>
            </w:tcBorders>
          </w:tcPr>
          <w:p w14:paraId="4AFF9A3D" w14:textId="5A6D2C9C"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(0.0035)</w:t>
            </w:r>
          </w:p>
        </w:tc>
      </w:tr>
      <w:tr w:rsidR="007737F8" w:rsidRPr="00B93051" w14:paraId="556F19D8" w14:textId="77777777" w:rsidTr="00210574">
        <w:tc>
          <w:tcPr>
            <w:tcW w:w="4050" w:type="dxa"/>
            <w:tcBorders>
              <w:top w:val="nil"/>
              <w:left w:val="nil"/>
              <w:bottom w:val="nil"/>
              <w:right w:val="nil"/>
            </w:tcBorders>
          </w:tcPr>
          <w:p w14:paraId="311A98F4" w14:textId="48C2271A" w:rsidR="007737F8" w:rsidRPr="00B93051" w:rsidRDefault="007737F8" w:rsidP="007737F8">
            <w:pPr>
              <w:widowControl w:val="0"/>
              <w:autoSpaceDE w:val="0"/>
              <w:autoSpaceDN w:val="0"/>
              <w:adjustRightInd w:val="0"/>
              <w:spacing w:after="0" w:line="240" w:lineRule="auto"/>
              <w:rPr>
                <w:rFonts w:eastAsia="Times New Roman"/>
                <w:sz w:val="22"/>
                <w:szCs w:val="22"/>
              </w:rPr>
            </w:pPr>
            <w:r>
              <w:t>Duration</w:t>
            </w:r>
          </w:p>
        </w:tc>
        <w:tc>
          <w:tcPr>
            <w:tcW w:w="1422" w:type="dxa"/>
            <w:tcBorders>
              <w:top w:val="nil"/>
              <w:left w:val="nil"/>
              <w:bottom w:val="nil"/>
              <w:right w:val="nil"/>
            </w:tcBorders>
          </w:tcPr>
          <w:p w14:paraId="646A888D" w14:textId="7C94C642"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-0.0284</w:t>
            </w:r>
          </w:p>
        </w:tc>
        <w:tc>
          <w:tcPr>
            <w:tcW w:w="1656" w:type="dxa"/>
            <w:gridSpan w:val="2"/>
            <w:tcBorders>
              <w:top w:val="nil"/>
              <w:left w:val="nil"/>
              <w:bottom w:val="nil"/>
              <w:right w:val="nil"/>
            </w:tcBorders>
          </w:tcPr>
          <w:p w14:paraId="6605871A" w14:textId="378AD3DC"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-0.0434**</w:t>
            </w:r>
          </w:p>
        </w:tc>
        <w:tc>
          <w:tcPr>
            <w:tcW w:w="1656" w:type="dxa"/>
            <w:tcBorders>
              <w:top w:val="nil"/>
              <w:left w:val="nil"/>
              <w:bottom w:val="nil"/>
              <w:right w:val="nil"/>
            </w:tcBorders>
          </w:tcPr>
          <w:p w14:paraId="7D1CD046" w14:textId="4A7F91D8"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-0.0500***</w:t>
            </w:r>
          </w:p>
        </w:tc>
      </w:tr>
      <w:tr w:rsidR="007737F8" w:rsidRPr="00B93051" w14:paraId="0FABB458" w14:textId="77777777" w:rsidTr="00210574">
        <w:tc>
          <w:tcPr>
            <w:tcW w:w="4050" w:type="dxa"/>
            <w:tcBorders>
              <w:top w:val="nil"/>
              <w:left w:val="nil"/>
              <w:bottom w:val="nil"/>
              <w:right w:val="nil"/>
            </w:tcBorders>
          </w:tcPr>
          <w:p w14:paraId="223F5C98" w14:textId="77777777" w:rsidR="007737F8" w:rsidRPr="00B93051" w:rsidRDefault="007737F8" w:rsidP="007737F8">
            <w:pPr>
              <w:widowControl w:val="0"/>
              <w:autoSpaceDE w:val="0"/>
              <w:autoSpaceDN w:val="0"/>
              <w:adjustRightInd w:val="0"/>
              <w:spacing w:after="0" w:line="240" w:lineRule="auto"/>
              <w:rPr>
                <w:rFonts w:eastAsia="Times New Roman"/>
                <w:sz w:val="22"/>
                <w:szCs w:val="22"/>
              </w:rPr>
            </w:pPr>
          </w:p>
        </w:tc>
        <w:tc>
          <w:tcPr>
            <w:tcW w:w="1422" w:type="dxa"/>
            <w:tcBorders>
              <w:top w:val="nil"/>
              <w:left w:val="nil"/>
              <w:bottom w:val="nil"/>
              <w:right w:val="nil"/>
            </w:tcBorders>
          </w:tcPr>
          <w:p w14:paraId="73D006FC" w14:textId="0DCC4533"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(0.0565)</w:t>
            </w:r>
          </w:p>
        </w:tc>
        <w:tc>
          <w:tcPr>
            <w:tcW w:w="1656" w:type="dxa"/>
            <w:gridSpan w:val="2"/>
            <w:tcBorders>
              <w:top w:val="nil"/>
              <w:left w:val="nil"/>
              <w:bottom w:val="nil"/>
              <w:right w:val="nil"/>
            </w:tcBorders>
          </w:tcPr>
          <w:p w14:paraId="0EA8F49A" w14:textId="17274DC7"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(0.0138)</w:t>
            </w:r>
          </w:p>
        </w:tc>
        <w:tc>
          <w:tcPr>
            <w:tcW w:w="1656" w:type="dxa"/>
            <w:tcBorders>
              <w:top w:val="nil"/>
              <w:left w:val="nil"/>
              <w:bottom w:val="nil"/>
              <w:right w:val="nil"/>
            </w:tcBorders>
          </w:tcPr>
          <w:p w14:paraId="02BC5F96" w14:textId="6FDB088B"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(0.0141)</w:t>
            </w:r>
          </w:p>
        </w:tc>
      </w:tr>
      <w:tr w:rsidR="007737F8" w:rsidRPr="00B93051" w14:paraId="6452DBA3" w14:textId="77777777" w:rsidTr="00210574">
        <w:tc>
          <w:tcPr>
            <w:tcW w:w="4050" w:type="dxa"/>
            <w:tcBorders>
              <w:top w:val="nil"/>
              <w:left w:val="nil"/>
              <w:bottom w:val="nil"/>
              <w:right w:val="nil"/>
            </w:tcBorders>
          </w:tcPr>
          <w:p w14:paraId="493245F3" w14:textId="7AA5BDF6" w:rsidR="007737F8" w:rsidRPr="00B93051" w:rsidRDefault="007737F8" w:rsidP="007737F8">
            <w:pPr>
              <w:widowControl w:val="0"/>
              <w:autoSpaceDE w:val="0"/>
              <w:autoSpaceDN w:val="0"/>
              <w:adjustRightInd w:val="0"/>
              <w:spacing w:after="0" w:line="240" w:lineRule="auto"/>
              <w:rPr>
                <w:rFonts w:eastAsia="Times New Roman"/>
                <w:sz w:val="22"/>
                <w:szCs w:val="22"/>
              </w:rPr>
            </w:pPr>
            <w:r>
              <w:t>Duration Squared</w:t>
            </w:r>
          </w:p>
        </w:tc>
        <w:tc>
          <w:tcPr>
            <w:tcW w:w="1422" w:type="dxa"/>
            <w:tcBorders>
              <w:top w:val="nil"/>
              <w:left w:val="nil"/>
              <w:bottom w:val="nil"/>
              <w:right w:val="nil"/>
            </w:tcBorders>
          </w:tcPr>
          <w:p w14:paraId="28B24BAD" w14:textId="0F73384F"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-0.0007</w:t>
            </w:r>
          </w:p>
        </w:tc>
        <w:tc>
          <w:tcPr>
            <w:tcW w:w="1656" w:type="dxa"/>
            <w:gridSpan w:val="2"/>
            <w:tcBorders>
              <w:top w:val="nil"/>
              <w:left w:val="nil"/>
              <w:bottom w:val="nil"/>
              <w:right w:val="nil"/>
            </w:tcBorders>
          </w:tcPr>
          <w:p w14:paraId="5B0E01DD" w14:textId="115149A2"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0.0020</w:t>
            </w:r>
          </w:p>
        </w:tc>
        <w:tc>
          <w:tcPr>
            <w:tcW w:w="1656" w:type="dxa"/>
            <w:tcBorders>
              <w:top w:val="nil"/>
              <w:left w:val="nil"/>
              <w:bottom w:val="nil"/>
              <w:right w:val="nil"/>
            </w:tcBorders>
          </w:tcPr>
          <w:p w14:paraId="436A6934" w14:textId="0B2FBF17"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0.0026**</w:t>
            </w:r>
          </w:p>
        </w:tc>
      </w:tr>
      <w:tr w:rsidR="007737F8" w:rsidRPr="00B93051" w14:paraId="39B881C4" w14:textId="77777777" w:rsidTr="00210574">
        <w:tc>
          <w:tcPr>
            <w:tcW w:w="4050" w:type="dxa"/>
            <w:tcBorders>
              <w:top w:val="nil"/>
              <w:left w:val="nil"/>
              <w:bottom w:val="nil"/>
              <w:right w:val="nil"/>
            </w:tcBorders>
          </w:tcPr>
          <w:p w14:paraId="59C0DDB2" w14:textId="77777777" w:rsidR="007737F8" w:rsidRPr="00B93051" w:rsidRDefault="007737F8" w:rsidP="007737F8">
            <w:pPr>
              <w:widowControl w:val="0"/>
              <w:autoSpaceDE w:val="0"/>
              <w:autoSpaceDN w:val="0"/>
              <w:adjustRightInd w:val="0"/>
              <w:spacing w:after="0" w:line="240" w:lineRule="auto"/>
              <w:rPr>
                <w:rFonts w:eastAsia="Times New Roman"/>
                <w:sz w:val="22"/>
                <w:szCs w:val="22"/>
              </w:rPr>
            </w:pPr>
          </w:p>
        </w:tc>
        <w:tc>
          <w:tcPr>
            <w:tcW w:w="1422" w:type="dxa"/>
            <w:tcBorders>
              <w:top w:val="nil"/>
              <w:left w:val="nil"/>
              <w:bottom w:val="nil"/>
              <w:right w:val="nil"/>
            </w:tcBorders>
          </w:tcPr>
          <w:p w14:paraId="5705DB91" w14:textId="61190D41"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(0.0112)</w:t>
            </w:r>
          </w:p>
        </w:tc>
        <w:tc>
          <w:tcPr>
            <w:tcW w:w="1656" w:type="dxa"/>
            <w:gridSpan w:val="2"/>
            <w:tcBorders>
              <w:top w:val="nil"/>
              <w:left w:val="nil"/>
              <w:bottom w:val="nil"/>
              <w:right w:val="nil"/>
            </w:tcBorders>
          </w:tcPr>
          <w:p w14:paraId="16C524B7" w14:textId="3C48F512"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(0.0012)</w:t>
            </w:r>
          </w:p>
        </w:tc>
        <w:tc>
          <w:tcPr>
            <w:tcW w:w="1656" w:type="dxa"/>
            <w:tcBorders>
              <w:top w:val="nil"/>
              <w:left w:val="nil"/>
              <w:bottom w:val="nil"/>
              <w:right w:val="nil"/>
            </w:tcBorders>
          </w:tcPr>
          <w:p w14:paraId="241E4E8F" w14:textId="3A3724FB"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(0.0013)</w:t>
            </w:r>
          </w:p>
        </w:tc>
      </w:tr>
      <w:tr w:rsidR="007737F8" w:rsidRPr="00B93051" w14:paraId="13530BE6" w14:textId="77777777" w:rsidTr="00210574">
        <w:tc>
          <w:tcPr>
            <w:tcW w:w="4050" w:type="dxa"/>
            <w:tcBorders>
              <w:top w:val="nil"/>
              <w:left w:val="nil"/>
              <w:bottom w:val="nil"/>
              <w:right w:val="nil"/>
            </w:tcBorders>
          </w:tcPr>
          <w:p w14:paraId="7657106B" w14:textId="41E36BBB" w:rsidR="007737F8" w:rsidRPr="00B93051" w:rsidRDefault="007737F8" w:rsidP="007737F8">
            <w:pPr>
              <w:widowControl w:val="0"/>
              <w:autoSpaceDE w:val="0"/>
              <w:autoSpaceDN w:val="0"/>
              <w:adjustRightInd w:val="0"/>
              <w:spacing w:after="0" w:line="240" w:lineRule="auto"/>
              <w:rPr>
                <w:rFonts w:eastAsia="Times New Roman"/>
                <w:sz w:val="22"/>
                <w:szCs w:val="22"/>
              </w:rPr>
            </w:pPr>
            <w:r>
              <w:t>Duration Cubed</w:t>
            </w:r>
          </w:p>
        </w:tc>
        <w:tc>
          <w:tcPr>
            <w:tcW w:w="1422" w:type="dxa"/>
            <w:tcBorders>
              <w:top w:val="nil"/>
              <w:left w:val="nil"/>
              <w:bottom w:val="nil"/>
              <w:right w:val="nil"/>
            </w:tcBorders>
          </w:tcPr>
          <w:p w14:paraId="051DDF5F" w14:textId="4CA8B52E"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0.0000</w:t>
            </w:r>
          </w:p>
        </w:tc>
        <w:tc>
          <w:tcPr>
            <w:tcW w:w="1656" w:type="dxa"/>
            <w:gridSpan w:val="2"/>
            <w:tcBorders>
              <w:top w:val="nil"/>
              <w:left w:val="nil"/>
              <w:bottom w:val="nil"/>
              <w:right w:val="nil"/>
            </w:tcBorders>
          </w:tcPr>
          <w:p w14:paraId="660EF4C9" w14:textId="7F3B9427"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-0.0000</w:t>
            </w:r>
          </w:p>
        </w:tc>
        <w:tc>
          <w:tcPr>
            <w:tcW w:w="1656" w:type="dxa"/>
            <w:tcBorders>
              <w:top w:val="nil"/>
              <w:left w:val="nil"/>
              <w:bottom w:val="nil"/>
              <w:right w:val="nil"/>
            </w:tcBorders>
          </w:tcPr>
          <w:p w14:paraId="66D1A27A" w14:textId="098D8B98"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-0.0000</w:t>
            </w:r>
          </w:p>
        </w:tc>
      </w:tr>
      <w:tr w:rsidR="007737F8" w:rsidRPr="00B93051" w14:paraId="5164CF35" w14:textId="77777777" w:rsidTr="00210574">
        <w:tc>
          <w:tcPr>
            <w:tcW w:w="4050" w:type="dxa"/>
            <w:tcBorders>
              <w:top w:val="nil"/>
              <w:left w:val="nil"/>
              <w:bottom w:val="nil"/>
              <w:right w:val="nil"/>
            </w:tcBorders>
          </w:tcPr>
          <w:p w14:paraId="73FC2768" w14:textId="77777777" w:rsidR="007737F8" w:rsidRPr="00B93051" w:rsidRDefault="007737F8" w:rsidP="007737F8">
            <w:pPr>
              <w:widowControl w:val="0"/>
              <w:autoSpaceDE w:val="0"/>
              <w:autoSpaceDN w:val="0"/>
              <w:adjustRightInd w:val="0"/>
              <w:spacing w:after="0" w:line="240" w:lineRule="auto"/>
              <w:rPr>
                <w:rFonts w:eastAsia="Times New Roman"/>
                <w:sz w:val="22"/>
                <w:szCs w:val="22"/>
              </w:rPr>
            </w:pPr>
          </w:p>
        </w:tc>
        <w:tc>
          <w:tcPr>
            <w:tcW w:w="1422" w:type="dxa"/>
            <w:tcBorders>
              <w:top w:val="nil"/>
              <w:left w:val="nil"/>
              <w:bottom w:val="nil"/>
              <w:right w:val="nil"/>
            </w:tcBorders>
          </w:tcPr>
          <w:p w14:paraId="2B80AB1B" w14:textId="1630E8FD"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(0.0006)</w:t>
            </w:r>
          </w:p>
        </w:tc>
        <w:tc>
          <w:tcPr>
            <w:tcW w:w="1656" w:type="dxa"/>
            <w:gridSpan w:val="2"/>
            <w:tcBorders>
              <w:top w:val="nil"/>
              <w:left w:val="nil"/>
              <w:bottom w:val="nil"/>
              <w:right w:val="nil"/>
            </w:tcBorders>
          </w:tcPr>
          <w:p w14:paraId="0230FB10" w14:textId="6D66F02C"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(0.0000)</w:t>
            </w:r>
          </w:p>
        </w:tc>
        <w:tc>
          <w:tcPr>
            <w:tcW w:w="1656" w:type="dxa"/>
            <w:tcBorders>
              <w:top w:val="nil"/>
              <w:left w:val="nil"/>
              <w:bottom w:val="nil"/>
              <w:right w:val="nil"/>
            </w:tcBorders>
          </w:tcPr>
          <w:p w14:paraId="2C1C3688" w14:textId="4E714F02"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(0.0000)</w:t>
            </w:r>
          </w:p>
        </w:tc>
      </w:tr>
      <w:tr w:rsidR="007737F8" w:rsidRPr="00B93051" w14:paraId="2A6CC4DF" w14:textId="77777777" w:rsidTr="00210574">
        <w:tc>
          <w:tcPr>
            <w:tcW w:w="4050" w:type="dxa"/>
            <w:tcBorders>
              <w:top w:val="nil"/>
              <w:left w:val="nil"/>
              <w:bottom w:val="nil"/>
              <w:right w:val="nil"/>
            </w:tcBorders>
          </w:tcPr>
          <w:p w14:paraId="0A0BA4E2" w14:textId="21CE0BD1" w:rsidR="007737F8" w:rsidRPr="00B93051" w:rsidRDefault="007737F8" w:rsidP="007737F8">
            <w:pPr>
              <w:widowControl w:val="0"/>
              <w:autoSpaceDE w:val="0"/>
              <w:autoSpaceDN w:val="0"/>
              <w:adjustRightInd w:val="0"/>
              <w:spacing w:after="0" w:line="240" w:lineRule="auto"/>
              <w:rPr>
                <w:rFonts w:eastAsia="Times New Roman"/>
                <w:sz w:val="22"/>
                <w:szCs w:val="22"/>
              </w:rPr>
            </w:pPr>
            <w:r>
              <w:t>Before 2000</w:t>
            </w:r>
          </w:p>
        </w:tc>
        <w:tc>
          <w:tcPr>
            <w:tcW w:w="1422" w:type="dxa"/>
            <w:tcBorders>
              <w:top w:val="nil"/>
              <w:left w:val="nil"/>
              <w:bottom w:val="nil"/>
              <w:right w:val="nil"/>
            </w:tcBorders>
          </w:tcPr>
          <w:p w14:paraId="7BC1311D" w14:textId="77777777"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p>
        </w:tc>
        <w:tc>
          <w:tcPr>
            <w:tcW w:w="1656" w:type="dxa"/>
            <w:gridSpan w:val="2"/>
            <w:tcBorders>
              <w:top w:val="nil"/>
              <w:left w:val="nil"/>
              <w:bottom w:val="nil"/>
              <w:right w:val="nil"/>
            </w:tcBorders>
          </w:tcPr>
          <w:p w14:paraId="3D862806" w14:textId="77777777"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p>
        </w:tc>
        <w:tc>
          <w:tcPr>
            <w:tcW w:w="1656" w:type="dxa"/>
            <w:tcBorders>
              <w:top w:val="nil"/>
              <w:left w:val="nil"/>
              <w:bottom w:val="nil"/>
              <w:right w:val="nil"/>
            </w:tcBorders>
          </w:tcPr>
          <w:p w14:paraId="5EBA416C" w14:textId="14866271" w:rsidR="007737F8" w:rsidRPr="00B93051" w:rsidRDefault="007737F8" w:rsidP="007737F8">
            <w:pPr>
              <w:widowControl w:val="0"/>
              <w:autoSpaceDE w:val="0"/>
              <w:autoSpaceDN w:val="0"/>
              <w:adjustRightInd w:val="0"/>
              <w:spacing w:after="0" w:line="240" w:lineRule="auto"/>
              <w:jc w:val="center"/>
              <w:rPr>
                <w:sz w:val="22"/>
                <w:szCs w:val="22"/>
              </w:rPr>
            </w:pPr>
            <w:r>
              <w:t>-0.1596</w:t>
            </w:r>
          </w:p>
        </w:tc>
      </w:tr>
      <w:tr w:rsidR="007737F8" w:rsidRPr="00B93051" w14:paraId="65B8FB7F" w14:textId="77777777" w:rsidTr="00210574">
        <w:tc>
          <w:tcPr>
            <w:tcW w:w="4050" w:type="dxa"/>
            <w:tcBorders>
              <w:top w:val="nil"/>
              <w:left w:val="nil"/>
              <w:bottom w:val="nil"/>
              <w:right w:val="nil"/>
            </w:tcBorders>
          </w:tcPr>
          <w:p w14:paraId="5DFF1324" w14:textId="77777777" w:rsidR="007737F8" w:rsidRPr="00B93051" w:rsidRDefault="007737F8" w:rsidP="007737F8">
            <w:pPr>
              <w:widowControl w:val="0"/>
              <w:autoSpaceDE w:val="0"/>
              <w:autoSpaceDN w:val="0"/>
              <w:adjustRightInd w:val="0"/>
              <w:spacing w:after="0" w:line="240" w:lineRule="auto"/>
              <w:rPr>
                <w:rFonts w:eastAsia="Times New Roman"/>
                <w:sz w:val="22"/>
                <w:szCs w:val="22"/>
              </w:rPr>
            </w:pPr>
          </w:p>
        </w:tc>
        <w:tc>
          <w:tcPr>
            <w:tcW w:w="1422" w:type="dxa"/>
            <w:tcBorders>
              <w:top w:val="nil"/>
              <w:left w:val="nil"/>
              <w:bottom w:val="nil"/>
              <w:right w:val="nil"/>
            </w:tcBorders>
          </w:tcPr>
          <w:p w14:paraId="1D8E2F96" w14:textId="77777777"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p>
        </w:tc>
        <w:tc>
          <w:tcPr>
            <w:tcW w:w="1656" w:type="dxa"/>
            <w:gridSpan w:val="2"/>
            <w:tcBorders>
              <w:top w:val="nil"/>
              <w:left w:val="nil"/>
              <w:bottom w:val="nil"/>
              <w:right w:val="nil"/>
            </w:tcBorders>
          </w:tcPr>
          <w:p w14:paraId="72C4495B" w14:textId="77777777"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p>
        </w:tc>
        <w:tc>
          <w:tcPr>
            <w:tcW w:w="1656" w:type="dxa"/>
            <w:tcBorders>
              <w:top w:val="nil"/>
              <w:left w:val="nil"/>
              <w:bottom w:val="nil"/>
              <w:right w:val="nil"/>
            </w:tcBorders>
          </w:tcPr>
          <w:p w14:paraId="6F3F2D47" w14:textId="027B48AB" w:rsidR="007737F8" w:rsidRPr="00B93051" w:rsidRDefault="007737F8" w:rsidP="007737F8">
            <w:pPr>
              <w:widowControl w:val="0"/>
              <w:autoSpaceDE w:val="0"/>
              <w:autoSpaceDN w:val="0"/>
              <w:adjustRightInd w:val="0"/>
              <w:spacing w:after="0" w:line="240" w:lineRule="auto"/>
              <w:jc w:val="center"/>
              <w:rPr>
                <w:sz w:val="22"/>
                <w:szCs w:val="22"/>
              </w:rPr>
            </w:pPr>
            <w:r>
              <w:t>(0.4728)</w:t>
            </w:r>
          </w:p>
        </w:tc>
      </w:tr>
      <w:tr w:rsidR="007737F8" w:rsidRPr="00B93051" w14:paraId="7C709925" w14:textId="77777777" w:rsidTr="00210574">
        <w:tc>
          <w:tcPr>
            <w:tcW w:w="4050" w:type="dxa"/>
            <w:tcBorders>
              <w:top w:val="nil"/>
              <w:left w:val="nil"/>
              <w:bottom w:val="nil"/>
              <w:right w:val="nil"/>
            </w:tcBorders>
          </w:tcPr>
          <w:p w14:paraId="236DFFE5" w14:textId="588EC029" w:rsidR="007737F8" w:rsidRPr="00B93051" w:rsidRDefault="007737F8" w:rsidP="007737F8">
            <w:pPr>
              <w:widowControl w:val="0"/>
              <w:autoSpaceDE w:val="0"/>
              <w:autoSpaceDN w:val="0"/>
              <w:adjustRightInd w:val="0"/>
              <w:spacing w:after="0" w:line="240" w:lineRule="auto"/>
              <w:rPr>
                <w:rFonts w:eastAsia="Times New Roman"/>
                <w:sz w:val="22"/>
                <w:szCs w:val="22"/>
              </w:rPr>
            </w:pPr>
            <w:r>
              <w:t>Constant</w:t>
            </w:r>
          </w:p>
        </w:tc>
        <w:tc>
          <w:tcPr>
            <w:tcW w:w="1422" w:type="dxa"/>
            <w:tcBorders>
              <w:top w:val="nil"/>
              <w:left w:val="nil"/>
              <w:bottom w:val="nil"/>
              <w:right w:val="nil"/>
            </w:tcBorders>
          </w:tcPr>
          <w:p w14:paraId="4DFEAD49" w14:textId="6DE5CBFC"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-4.5298***</w:t>
            </w:r>
          </w:p>
        </w:tc>
        <w:tc>
          <w:tcPr>
            <w:tcW w:w="1656" w:type="dxa"/>
            <w:gridSpan w:val="2"/>
            <w:tcBorders>
              <w:top w:val="nil"/>
              <w:left w:val="nil"/>
              <w:bottom w:val="nil"/>
              <w:right w:val="nil"/>
            </w:tcBorders>
          </w:tcPr>
          <w:p w14:paraId="3E4AB318" w14:textId="68D268C6"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-3.3217***</w:t>
            </w:r>
          </w:p>
        </w:tc>
        <w:tc>
          <w:tcPr>
            <w:tcW w:w="1656" w:type="dxa"/>
            <w:tcBorders>
              <w:top w:val="nil"/>
              <w:left w:val="nil"/>
              <w:bottom w:val="nil"/>
              <w:right w:val="nil"/>
            </w:tcBorders>
          </w:tcPr>
          <w:p w14:paraId="52C576EF" w14:textId="083ECEBF"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-3.2798***</w:t>
            </w:r>
          </w:p>
        </w:tc>
      </w:tr>
      <w:tr w:rsidR="007737F8" w:rsidRPr="00B93051" w14:paraId="01ED7237" w14:textId="77777777" w:rsidTr="00210574">
        <w:tc>
          <w:tcPr>
            <w:tcW w:w="4050" w:type="dxa"/>
            <w:tcBorders>
              <w:top w:val="nil"/>
              <w:left w:val="nil"/>
              <w:bottom w:val="single" w:sz="4" w:space="0" w:color="auto"/>
              <w:right w:val="nil"/>
            </w:tcBorders>
          </w:tcPr>
          <w:p w14:paraId="06B016FB" w14:textId="77777777" w:rsidR="007737F8" w:rsidRPr="00B93051" w:rsidRDefault="007737F8" w:rsidP="007737F8">
            <w:pPr>
              <w:widowControl w:val="0"/>
              <w:autoSpaceDE w:val="0"/>
              <w:autoSpaceDN w:val="0"/>
              <w:adjustRightInd w:val="0"/>
              <w:spacing w:after="0" w:line="240" w:lineRule="auto"/>
              <w:rPr>
                <w:rFonts w:eastAsia="Times New Roman"/>
                <w:sz w:val="22"/>
                <w:szCs w:val="22"/>
              </w:rPr>
            </w:pPr>
          </w:p>
        </w:tc>
        <w:tc>
          <w:tcPr>
            <w:tcW w:w="1422" w:type="dxa"/>
            <w:tcBorders>
              <w:top w:val="nil"/>
              <w:left w:val="nil"/>
              <w:bottom w:val="single" w:sz="4" w:space="0" w:color="auto"/>
              <w:right w:val="nil"/>
            </w:tcBorders>
          </w:tcPr>
          <w:p w14:paraId="2C6E5C73" w14:textId="25B9ACD6"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(1.0255)</w:t>
            </w:r>
          </w:p>
        </w:tc>
        <w:tc>
          <w:tcPr>
            <w:tcW w:w="1656" w:type="dxa"/>
            <w:gridSpan w:val="2"/>
            <w:tcBorders>
              <w:top w:val="nil"/>
              <w:left w:val="nil"/>
              <w:bottom w:val="single" w:sz="4" w:space="0" w:color="auto"/>
              <w:right w:val="nil"/>
            </w:tcBorders>
          </w:tcPr>
          <w:p w14:paraId="20DD6346" w14:textId="2AAAA15B"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(0.3148)</w:t>
            </w:r>
          </w:p>
        </w:tc>
        <w:tc>
          <w:tcPr>
            <w:tcW w:w="1656" w:type="dxa"/>
            <w:tcBorders>
              <w:top w:val="nil"/>
              <w:left w:val="nil"/>
              <w:bottom w:val="single" w:sz="4" w:space="0" w:color="auto"/>
              <w:right w:val="nil"/>
            </w:tcBorders>
          </w:tcPr>
          <w:p w14:paraId="68363072" w14:textId="788A8F8E"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(0.3543)</w:t>
            </w:r>
          </w:p>
        </w:tc>
      </w:tr>
      <w:tr w:rsidR="007737F8" w:rsidRPr="00B93051" w14:paraId="74F61AC1" w14:textId="77777777" w:rsidTr="00210574">
        <w:tc>
          <w:tcPr>
            <w:tcW w:w="4050" w:type="dxa"/>
            <w:tcBorders>
              <w:top w:val="single" w:sz="4" w:space="0" w:color="auto"/>
              <w:left w:val="nil"/>
              <w:bottom w:val="nil"/>
              <w:right w:val="nil"/>
            </w:tcBorders>
          </w:tcPr>
          <w:p w14:paraId="0D435192" w14:textId="0D07C3F4" w:rsidR="007737F8" w:rsidRPr="00B93051" w:rsidRDefault="007737F8" w:rsidP="007737F8">
            <w:pPr>
              <w:widowControl w:val="0"/>
              <w:autoSpaceDE w:val="0"/>
              <w:autoSpaceDN w:val="0"/>
              <w:adjustRightInd w:val="0"/>
              <w:spacing w:after="0" w:line="240" w:lineRule="auto"/>
              <w:rPr>
                <w:rFonts w:eastAsia="Times New Roman"/>
                <w:sz w:val="22"/>
                <w:szCs w:val="22"/>
              </w:rPr>
            </w:pPr>
            <w:r>
              <w:t>Var(Policy)</w:t>
            </w:r>
          </w:p>
        </w:tc>
        <w:tc>
          <w:tcPr>
            <w:tcW w:w="1422" w:type="dxa"/>
            <w:tcBorders>
              <w:top w:val="single" w:sz="4" w:space="0" w:color="auto"/>
              <w:left w:val="nil"/>
              <w:bottom w:val="nil"/>
              <w:right w:val="nil"/>
            </w:tcBorders>
          </w:tcPr>
          <w:p w14:paraId="6A9CFA3F" w14:textId="2E2A7B3C"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0.8495***</w:t>
            </w:r>
          </w:p>
        </w:tc>
        <w:tc>
          <w:tcPr>
            <w:tcW w:w="1656" w:type="dxa"/>
            <w:gridSpan w:val="2"/>
            <w:tcBorders>
              <w:top w:val="single" w:sz="4" w:space="0" w:color="auto"/>
              <w:left w:val="nil"/>
              <w:bottom w:val="nil"/>
              <w:right w:val="nil"/>
            </w:tcBorders>
          </w:tcPr>
          <w:p w14:paraId="23393A2A" w14:textId="0E874B27"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0.9608***</w:t>
            </w:r>
          </w:p>
        </w:tc>
        <w:tc>
          <w:tcPr>
            <w:tcW w:w="1656" w:type="dxa"/>
            <w:tcBorders>
              <w:top w:val="single" w:sz="4" w:space="0" w:color="auto"/>
              <w:left w:val="nil"/>
              <w:bottom w:val="nil"/>
              <w:right w:val="nil"/>
            </w:tcBorders>
          </w:tcPr>
          <w:p w14:paraId="65792E67" w14:textId="71D4E555"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0.9449***</w:t>
            </w:r>
          </w:p>
        </w:tc>
      </w:tr>
      <w:tr w:rsidR="007737F8" w:rsidRPr="00B93051" w14:paraId="5B4FF7F9" w14:textId="77777777" w:rsidTr="00210574">
        <w:tc>
          <w:tcPr>
            <w:tcW w:w="4050" w:type="dxa"/>
            <w:tcBorders>
              <w:top w:val="nil"/>
              <w:left w:val="nil"/>
              <w:bottom w:val="single" w:sz="4" w:space="0" w:color="auto"/>
              <w:right w:val="nil"/>
            </w:tcBorders>
          </w:tcPr>
          <w:p w14:paraId="206D4930" w14:textId="77777777" w:rsidR="007737F8" w:rsidRPr="00B93051" w:rsidRDefault="007737F8" w:rsidP="007737F8">
            <w:pPr>
              <w:widowControl w:val="0"/>
              <w:autoSpaceDE w:val="0"/>
              <w:autoSpaceDN w:val="0"/>
              <w:adjustRightInd w:val="0"/>
              <w:spacing w:after="0" w:line="240" w:lineRule="auto"/>
              <w:rPr>
                <w:rFonts w:eastAsia="Times New Roman"/>
                <w:sz w:val="22"/>
                <w:szCs w:val="22"/>
              </w:rPr>
            </w:pPr>
          </w:p>
        </w:tc>
        <w:tc>
          <w:tcPr>
            <w:tcW w:w="1422" w:type="dxa"/>
            <w:tcBorders>
              <w:top w:val="nil"/>
              <w:left w:val="nil"/>
              <w:bottom w:val="single" w:sz="4" w:space="0" w:color="auto"/>
              <w:right w:val="nil"/>
            </w:tcBorders>
          </w:tcPr>
          <w:p w14:paraId="1B9D7FA5" w14:textId="2E5CE59E"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(0.1341)</w:t>
            </w:r>
          </w:p>
        </w:tc>
        <w:tc>
          <w:tcPr>
            <w:tcW w:w="1656" w:type="dxa"/>
            <w:gridSpan w:val="2"/>
            <w:tcBorders>
              <w:top w:val="nil"/>
              <w:left w:val="nil"/>
              <w:bottom w:val="single" w:sz="4" w:space="0" w:color="auto"/>
              <w:right w:val="nil"/>
            </w:tcBorders>
          </w:tcPr>
          <w:p w14:paraId="0436A22E" w14:textId="38D08011"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(0.0801)</w:t>
            </w:r>
          </w:p>
        </w:tc>
        <w:tc>
          <w:tcPr>
            <w:tcW w:w="1656" w:type="dxa"/>
            <w:tcBorders>
              <w:top w:val="nil"/>
              <w:left w:val="nil"/>
              <w:bottom w:val="single" w:sz="4" w:space="0" w:color="auto"/>
              <w:right w:val="nil"/>
            </w:tcBorders>
          </w:tcPr>
          <w:p w14:paraId="3EF86BE5" w14:textId="43C45034"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(0.0793)</w:t>
            </w:r>
          </w:p>
        </w:tc>
      </w:tr>
      <w:tr w:rsidR="007737F8" w:rsidRPr="00B93051" w14:paraId="5F0101D4" w14:textId="77777777" w:rsidTr="00210574">
        <w:tc>
          <w:tcPr>
            <w:tcW w:w="4050" w:type="dxa"/>
            <w:tcBorders>
              <w:top w:val="nil"/>
              <w:left w:val="nil"/>
              <w:bottom w:val="single" w:sz="4" w:space="0" w:color="auto"/>
              <w:right w:val="nil"/>
            </w:tcBorders>
          </w:tcPr>
          <w:p w14:paraId="25E8E5BF" w14:textId="53C377AB" w:rsidR="007737F8" w:rsidRPr="00B93051" w:rsidRDefault="007737F8" w:rsidP="007737F8">
            <w:pPr>
              <w:widowControl w:val="0"/>
              <w:autoSpaceDE w:val="0"/>
              <w:autoSpaceDN w:val="0"/>
              <w:adjustRightInd w:val="0"/>
              <w:spacing w:after="0" w:line="240" w:lineRule="auto"/>
              <w:rPr>
                <w:rFonts w:eastAsia="Times New Roman"/>
                <w:sz w:val="22"/>
                <w:szCs w:val="22"/>
              </w:rPr>
            </w:pPr>
            <w:r>
              <w:t>Observations</w:t>
            </w:r>
          </w:p>
        </w:tc>
        <w:tc>
          <w:tcPr>
            <w:tcW w:w="1422" w:type="dxa"/>
            <w:tcBorders>
              <w:top w:val="nil"/>
              <w:left w:val="nil"/>
              <w:bottom w:val="single" w:sz="4" w:space="0" w:color="auto"/>
              <w:right w:val="nil"/>
            </w:tcBorders>
          </w:tcPr>
          <w:p w14:paraId="72C2A581" w14:textId="474CC497"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28,851</w:t>
            </w:r>
          </w:p>
        </w:tc>
        <w:tc>
          <w:tcPr>
            <w:tcW w:w="1656" w:type="dxa"/>
            <w:gridSpan w:val="2"/>
            <w:tcBorders>
              <w:top w:val="nil"/>
              <w:left w:val="nil"/>
              <w:bottom w:val="single" w:sz="4" w:space="0" w:color="auto"/>
              <w:right w:val="nil"/>
            </w:tcBorders>
          </w:tcPr>
          <w:p w14:paraId="30542CE4" w14:textId="612AF02C"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170,364</w:t>
            </w:r>
          </w:p>
        </w:tc>
        <w:tc>
          <w:tcPr>
            <w:tcW w:w="1656" w:type="dxa"/>
            <w:tcBorders>
              <w:top w:val="nil"/>
              <w:left w:val="nil"/>
              <w:bottom w:val="single" w:sz="4" w:space="0" w:color="auto"/>
              <w:right w:val="nil"/>
            </w:tcBorders>
          </w:tcPr>
          <w:p w14:paraId="284AF761" w14:textId="78A8073F" w:rsidR="007737F8" w:rsidRPr="00B93051" w:rsidRDefault="007737F8" w:rsidP="007737F8">
            <w:pPr>
              <w:widowControl w:val="0"/>
              <w:autoSpaceDE w:val="0"/>
              <w:autoSpaceDN w:val="0"/>
              <w:adjustRightInd w:val="0"/>
              <w:spacing w:after="0" w:line="240" w:lineRule="auto"/>
              <w:jc w:val="center"/>
              <w:rPr>
                <w:rFonts w:eastAsia="Times New Roman"/>
                <w:sz w:val="22"/>
                <w:szCs w:val="22"/>
              </w:rPr>
            </w:pPr>
            <w:r>
              <w:t>163,345</w:t>
            </w:r>
          </w:p>
        </w:tc>
      </w:tr>
    </w:tbl>
    <w:p w14:paraId="44B007B1" w14:textId="77777777" w:rsidR="0038258E" w:rsidRPr="008E6168" w:rsidRDefault="0038258E" w:rsidP="0038258E">
      <w:pPr>
        <w:spacing w:after="0" w:line="240" w:lineRule="auto"/>
        <w:ind w:left="180"/>
        <w:contextualSpacing/>
        <w:rPr>
          <w:sz w:val="20"/>
          <w:szCs w:val="20"/>
        </w:rPr>
      </w:pPr>
      <w:r w:rsidRPr="008E6168">
        <w:rPr>
          <w:b/>
          <w:sz w:val="20"/>
          <w:szCs w:val="20"/>
        </w:rPr>
        <w:t>*</w:t>
      </w:r>
      <w:r w:rsidRPr="008E6168">
        <w:rPr>
          <w:sz w:val="20"/>
          <w:szCs w:val="20"/>
        </w:rPr>
        <w:t>indicates p&lt;.05</w:t>
      </w:r>
      <w:r>
        <w:rPr>
          <w:sz w:val="20"/>
          <w:szCs w:val="20"/>
        </w:rPr>
        <w:t>, ** p&lt;.01, *** p&lt;.001</w:t>
      </w:r>
      <w:r w:rsidRPr="008E6168">
        <w:rPr>
          <w:sz w:val="20"/>
          <w:szCs w:val="20"/>
        </w:rPr>
        <w:t>. Modeling includes fixed effect for year and random effects for policy</w:t>
      </w:r>
    </w:p>
    <w:p w14:paraId="3023FDCC" w14:textId="77777777" w:rsidR="0038258E" w:rsidRPr="00DA541C" w:rsidRDefault="0038258E" w:rsidP="0038258E">
      <w:pPr>
        <w:spacing w:after="0" w:line="240" w:lineRule="auto"/>
        <w:jc w:val="center"/>
        <w:rPr>
          <w:b/>
        </w:rPr>
      </w:pPr>
    </w:p>
    <w:p w14:paraId="6FCC558C" w14:textId="77777777" w:rsidR="0038258E" w:rsidRPr="00DA541C" w:rsidRDefault="0038258E" w:rsidP="0038258E">
      <w:pPr>
        <w:spacing w:after="0" w:line="240" w:lineRule="auto"/>
        <w:jc w:val="center"/>
        <w:rPr>
          <w:b/>
        </w:rPr>
      </w:pPr>
    </w:p>
    <w:p w14:paraId="5C0F0DB7" w14:textId="77777777" w:rsidR="00956549" w:rsidRDefault="00956549" w:rsidP="00651396">
      <w:pPr>
        <w:spacing w:after="0"/>
        <w:rPr>
          <w:b/>
        </w:rPr>
      </w:pPr>
    </w:p>
    <w:p w14:paraId="0DC6FCD2" w14:textId="72C2CD4E" w:rsidR="0038258E" w:rsidRDefault="0038258E" w:rsidP="00956549">
      <w:pPr>
        <w:spacing w:after="0" w:line="240" w:lineRule="auto"/>
        <w:rPr>
          <w:highlight w:val="yellow"/>
        </w:rPr>
      </w:pPr>
      <w:r w:rsidRPr="00B93051">
        <w:lastRenderedPageBreak/>
        <w:t xml:space="preserve">Figure </w:t>
      </w:r>
      <w:r>
        <w:t>3</w:t>
      </w:r>
      <w:r w:rsidRPr="00B93051">
        <w:t>: Marginal Effect of Contiguity at Different Levels of Broadband Subscriptions</w:t>
      </w:r>
      <w:r w:rsidR="00956549">
        <w:t xml:space="preserve"> </w:t>
      </w:r>
      <w:r w:rsidR="00956549" w:rsidRPr="005F2D62">
        <w:t>(</w:t>
      </w:r>
      <w:r w:rsidR="005F2D62">
        <w:t>M</w:t>
      </w:r>
      <w:r w:rsidR="0045365C" w:rsidRPr="005F2D62">
        <w:t>odel</w:t>
      </w:r>
      <w:r w:rsidR="005F2D62" w:rsidRPr="005F2D62">
        <w:t xml:space="preserve"> 1</w:t>
      </w:r>
      <w:r w:rsidR="00956549" w:rsidRPr="005F2D62">
        <w:t>)</w:t>
      </w:r>
    </w:p>
    <w:p w14:paraId="1E8CD7DF" w14:textId="77777777" w:rsidR="00956549" w:rsidRPr="00B93051" w:rsidRDefault="00956549" w:rsidP="00956549">
      <w:pPr>
        <w:spacing w:after="0" w:line="240" w:lineRule="auto"/>
      </w:pPr>
    </w:p>
    <w:p w14:paraId="25DDC5A1" w14:textId="564F66F9" w:rsidR="0038258E" w:rsidRPr="00660F63" w:rsidRDefault="00657AA1" w:rsidP="0038258E">
      <w:pPr>
        <w:spacing w:after="0"/>
        <w:jc w:val="center"/>
        <w:rPr>
          <w:b/>
        </w:rPr>
      </w:pPr>
      <w:r>
        <w:rPr>
          <w:noProof/>
        </w:rPr>
        <w:drawing>
          <wp:inline distT="0" distB="0" distL="0" distR="0" wp14:anchorId="4561B035" wp14:editId="579E9232">
            <wp:extent cx="5613400" cy="408470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8586" cy="4088481"/>
                    </a:xfrm>
                    <a:prstGeom prst="rect">
                      <a:avLst/>
                    </a:prstGeom>
                    <a:noFill/>
                    <a:ln>
                      <a:noFill/>
                    </a:ln>
                  </pic:spPr>
                </pic:pic>
              </a:graphicData>
            </a:graphic>
          </wp:inline>
        </w:drawing>
      </w:r>
    </w:p>
    <w:p w14:paraId="47F373F3" w14:textId="77777777" w:rsidR="0038258E" w:rsidRDefault="0038258E" w:rsidP="0038258E">
      <w:pPr>
        <w:spacing w:after="0" w:line="240" w:lineRule="auto"/>
        <w:jc w:val="center"/>
        <w:rPr>
          <w:b/>
        </w:rPr>
      </w:pPr>
    </w:p>
    <w:p w14:paraId="61B40F89" w14:textId="77777777" w:rsidR="0038258E" w:rsidRDefault="0038258E" w:rsidP="0038258E">
      <w:pPr>
        <w:spacing w:after="0" w:line="240" w:lineRule="auto"/>
        <w:jc w:val="center"/>
        <w:rPr>
          <w:b/>
        </w:rPr>
      </w:pPr>
    </w:p>
    <w:p w14:paraId="53C4E7F0" w14:textId="77777777" w:rsidR="0038258E" w:rsidRDefault="0038258E" w:rsidP="0038258E">
      <w:pPr>
        <w:spacing w:after="0"/>
        <w:rPr>
          <w:b/>
        </w:rPr>
      </w:pPr>
      <w:r>
        <w:rPr>
          <w:b/>
        </w:rPr>
        <w:br w:type="page"/>
      </w:r>
    </w:p>
    <w:p w14:paraId="4402D4FA" w14:textId="182EB5D2" w:rsidR="0038258E" w:rsidRPr="00123A55" w:rsidRDefault="0038258E" w:rsidP="0038258E">
      <w:pPr>
        <w:spacing w:after="0" w:line="240" w:lineRule="auto"/>
        <w:ind w:left="720"/>
        <w:rPr>
          <w:szCs w:val="20"/>
        </w:rPr>
      </w:pPr>
      <w:r w:rsidRPr="001337ED">
        <w:rPr>
          <w:szCs w:val="20"/>
        </w:rPr>
        <w:lastRenderedPageBreak/>
        <w:t xml:space="preserve">Table </w:t>
      </w:r>
      <w:r>
        <w:rPr>
          <w:szCs w:val="20"/>
        </w:rPr>
        <w:t>3</w:t>
      </w:r>
      <w:r w:rsidRPr="001337ED">
        <w:rPr>
          <w:szCs w:val="20"/>
        </w:rPr>
        <w:t>:</w:t>
      </w:r>
      <w:r w:rsidRPr="00123A55">
        <w:rPr>
          <w:szCs w:val="20"/>
        </w:rPr>
        <w:t xml:space="preserve"> </w:t>
      </w:r>
      <w:r>
        <w:rPr>
          <w:szCs w:val="20"/>
        </w:rPr>
        <w:t xml:space="preserve">Instrumental Variable Regression: Two </w:t>
      </w:r>
      <w:r w:rsidRPr="00123A55">
        <w:rPr>
          <w:szCs w:val="20"/>
        </w:rPr>
        <w:t>Stage-Probit with Broadband Treated as Instrumental Variable</w:t>
      </w:r>
      <w:r w:rsidR="00956549">
        <w:rPr>
          <w:szCs w:val="20"/>
        </w:rPr>
        <w:t xml:space="preserve"> </w:t>
      </w:r>
    </w:p>
    <w:tbl>
      <w:tblPr>
        <w:tblW w:w="0" w:type="auto"/>
        <w:jc w:val="center"/>
        <w:tblLayout w:type="fixed"/>
        <w:tblLook w:val="0000" w:firstRow="0" w:lastRow="0" w:firstColumn="0" w:lastColumn="0" w:noHBand="0" w:noVBand="0"/>
      </w:tblPr>
      <w:tblGrid>
        <w:gridCol w:w="3816"/>
        <w:gridCol w:w="1656"/>
        <w:gridCol w:w="1656"/>
      </w:tblGrid>
      <w:tr w:rsidR="0038258E" w14:paraId="0BCEC74B" w14:textId="77777777" w:rsidTr="000D7586">
        <w:trPr>
          <w:jc w:val="center"/>
        </w:trPr>
        <w:tc>
          <w:tcPr>
            <w:tcW w:w="3816" w:type="dxa"/>
            <w:tcBorders>
              <w:top w:val="single" w:sz="4" w:space="0" w:color="auto"/>
              <w:left w:val="nil"/>
              <w:bottom w:val="nil"/>
              <w:right w:val="nil"/>
            </w:tcBorders>
          </w:tcPr>
          <w:p w14:paraId="3BB15F26" w14:textId="77777777" w:rsidR="0038258E" w:rsidRPr="00350121" w:rsidRDefault="0038258E" w:rsidP="000D7586">
            <w:pPr>
              <w:widowControl w:val="0"/>
              <w:autoSpaceDE w:val="0"/>
              <w:autoSpaceDN w:val="0"/>
              <w:adjustRightInd w:val="0"/>
              <w:spacing w:after="0" w:line="240" w:lineRule="auto"/>
              <w:rPr>
                <w:rFonts w:ascii="Times" w:hAnsi="Times"/>
                <w:sz w:val="22"/>
                <w:szCs w:val="22"/>
              </w:rPr>
            </w:pPr>
            <w:bookmarkStart w:id="1" w:name="_Hlk11246664"/>
          </w:p>
        </w:tc>
        <w:tc>
          <w:tcPr>
            <w:tcW w:w="1656" w:type="dxa"/>
            <w:tcBorders>
              <w:top w:val="single" w:sz="4" w:space="0" w:color="auto"/>
              <w:left w:val="nil"/>
              <w:bottom w:val="nil"/>
              <w:right w:val="nil"/>
            </w:tcBorders>
          </w:tcPr>
          <w:p w14:paraId="1E9C16F7" w14:textId="77777777" w:rsidR="0038258E" w:rsidRPr="00350121" w:rsidRDefault="0038258E" w:rsidP="000D7586">
            <w:pPr>
              <w:widowControl w:val="0"/>
              <w:autoSpaceDE w:val="0"/>
              <w:autoSpaceDN w:val="0"/>
              <w:adjustRightInd w:val="0"/>
              <w:spacing w:after="0" w:line="240" w:lineRule="auto"/>
              <w:jc w:val="center"/>
              <w:rPr>
                <w:rFonts w:ascii="Times" w:hAnsi="Times"/>
                <w:sz w:val="22"/>
                <w:szCs w:val="22"/>
              </w:rPr>
            </w:pPr>
            <w:r w:rsidRPr="00350121">
              <w:rPr>
                <w:rFonts w:ascii="Times" w:hAnsi="Times"/>
                <w:sz w:val="22"/>
                <w:szCs w:val="22"/>
              </w:rPr>
              <w:t>Stage 1-</w:t>
            </w:r>
          </w:p>
        </w:tc>
        <w:tc>
          <w:tcPr>
            <w:tcW w:w="1656" w:type="dxa"/>
            <w:tcBorders>
              <w:top w:val="single" w:sz="4" w:space="0" w:color="auto"/>
              <w:left w:val="nil"/>
              <w:bottom w:val="nil"/>
              <w:right w:val="nil"/>
            </w:tcBorders>
          </w:tcPr>
          <w:p w14:paraId="6529B342" w14:textId="77777777" w:rsidR="0038258E" w:rsidRPr="00350121" w:rsidRDefault="0038258E" w:rsidP="000D7586">
            <w:pPr>
              <w:widowControl w:val="0"/>
              <w:autoSpaceDE w:val="0"/>
              <w:autoSpaceDN w:val="0"/>
              <w:adjustRightInd w:val="0"/>
              <w:spacing w:after="0" w:line="240" w:lineRule="auto"/>
              <w:jc w:val="center"/>
              <w:rPr>
                <w:rFonts w:ascii="Times" w:hAnsi="Times"/>
                <w:sz w:val="22"/>
                <w:szCs w:val="22"/>
              </w:rPr>
            </w:pPr>
            <w:r w:rsidRPr="00350121">
              <w:rPr>
                <w:rFonts w:ascii="Times" w:hAnsi="Times"/>
                <w:sz w:val="22"/>
                <w:szCs w:val="22"/>
              </w:rPr>
              <w:t>Stage 2-</w:t>
            </w:r>
          </w:p>
        </w:tc>
      </w:tr>
      <w:tr w:rsidR="0038258E" w14:paraId="6AAED780" w14:textId="77777777" w:rsidTr="000D7586">
        <w:trPr>
          <w:trHeight w:val="612"/>
          <w:jc w:val="center"/>
        </w:trPr>
        <w:tc>
          <w:tcPr>
            <w:tcW w:w="3816" w:type="dxa"/>
            <w:tcBorders>
              <w:top w:val="nil"/>
              <w:left w:val="nil"/>
              <w:bottom w:val="nil"/>
              <w:right w:val="nil"/>
            </w:tcBorders>
          </w:tcPr>
          <w:p w14:paraId="16C03355" w14:textId="77777777" w:rsidR="0038258E" w:rsidRPr="00350121" w:rsidRDefault="0038258E" w:rsidP="000D7586">
            <w:pPr>
              <w:widowControl w:val="0"/>
              <w:autoSpaceDE w:val="0"/>
              <w:autoSpaceDN w:val="0"/>
              <w:adjustRightInd w:val="0"/>
              <w:spacing w:after="0" w:line="240" w:lineRule="auto"/>
              <w:rPr>
                <w:rFonts w:ascii="Times" w:hAnsi="Times"/>
                <w:sz w:val="22"/>
                <w:szCs w:val="22"/>
              </w:rPr>
            </w:pPr>
          </w:p>
        </w:tc>
        <w:tc>
          <w:tcPr>
            <w:tcW w:w="1656" w:type="dxa"/>
            <w:tcBorders>
              <w:top w:val="nil"/>
              <w:left w:val="nil"/>
              <w:bottom w:val="nil"/>
              <w:right w:val="nil"/>
            </w:tcBorders>
          </w:tcPr>
          <w:p w14:paraId="667E085D" w14:textId="77777777" w:rsidR="0038258E" w:rsidRPr="00350121" w:rsidRDefault="0038258E" w:rsidP="000D7586">
            <w:pPr>
              <w:widowControl w:val="0"/>
              <w:autoSpaceDE w:val="0"/>
              <w:autoSpaceDN w:val="0"/>
              <w:adjustRightInd w:val="0"/>
              <w:spacing w:after="0" w:line="240" w:lineRule="auto"/>
              <w:jc w:val="center"/>
              <w:rPr>
                <w:rFonts w:ascii="Times" w:hAnsi="Times"/>
                <w:sz w:val="22"/>
                <w:szCs w:val="22"/>
              </w:rPr>
            </w:pPr>
            <w:r w:rsidRPr="00350121">
              <w:rPr>
                <w:rFonts w:ascii="Times" w:hAnsi="Times"/>
                <w:sz w:val="22"/>
                <w:szCs w:val="22"/>
              </w:rPr>
              <w:t>Broadband Subscriptions</w:t>
            </w:r>
          </w:p>
        </w:tc>
        <w:tc>
          <w:tcPr>
            <w:tcW w:w="1656" w:type="dxa"/>
            <w:tcBorders>
              <w:top w:val="nil"/>
              <w:left w:val="nil"/>
              <w:bottom w:val="nil"/>
              <w:right w:val="nil"/>
            </w:tcBorders>
          </w:tcPr>
          <w:p w14:paraId="0C13B261" w14:textId="77777777" w:rsidR="0038258E" w:rsidRPr="00350121" w:rsidRDefault="0038258E" w:rsidP="000D7586">
            <w:pPr>
              <w:widowControl w:val="0"/>
              <w:autoSpaceDE w:val="0"/>
              <w:autoSpaceDN w:val="0"/>
              <w:adjustRightInd w:val="0"/>
              <w:spacing w:after="0" w:line="240" w:lineRule="auto"/>
              <w:jc w:val="center"/>
              <w:rPr>
                <w:rFonts w:ascii="Times" w:hAnsi="Times"/>
                <w:sz w:val="22"/>
                <w:szCs w:val="22"/>
              </w:rPr>
            </w:pPr>
            <w:r w:rsidRPr="00350121">
              <w:rPr>
                <w:rFonts w:ascii="Times" w:hAnsi="Times"/>
                <w:sz w:val="22"/>
                <w:szCs w:val="22"/>
              </w:rPr>
              <w:t>Policy Adoption</w:t>
            </w:r>
          </w:p>
        </w:tc>
      </w:tr>
      <w:tr w:rsidR="00D76B3D" w14:paraId="30C78345" w14:textId="77777777" w:rsidTr="000D7586">
        <w:trPr>
          <w:jc w:val="center"/>
        </w:trPr>
        <w:tc>
          <w:tcPr>
            <w:tcW w:w="3816" w:type="dxa"/>
            <w:tcBorders>
              <w:top w:val="single" w:sz="4" w:space="0" w:color="auto"/>
              <w:left w:val="nil"/>
              <w:bottom w:val="nil"/>
              <w:right w:val="nil"/>
            </w:tcBorders>
          </w:tcPr>
          <w:p w14:paraId="508E4668" w14:textId="6955B1A6" w:rsidR="00D76B3D" w:rsidRPr="00350121" w:rsidRDefault="00D76B3D" w:rsidP="00D76B3D">
            <w:pPr>
              <w:widowControl w:val="0"/>
              <w:autoSpaceDE w:val="0"/>
              <w:autoSpaceDN w:val="0"/>
              <w:adjustRightInd w:val="0"/>
              <w:spacing w:after="0" w:line="240" w:lineRule="auto"/>
              <w:rPr>
                <w:rFonts w:ascii="Times" w:hAnsi="Times"/>
                <w:sz w:val="22"/>
                <w:szCs w:val="22"/>
              </w:rPr>
            </w:pPr>
            <w:r>
              <w:t>Broadband Subscriptions</w:t>
            </w:r>
          </w:p>
        </w:tc>
        <w:tc>
          <w:tcPr>
            <w:tcW w:w="1656" w:type="dxa"/>
            <w:tcBorders>
              <w:top w:val="single" w:sz="4" w:space="0" w:color="auto"/>
              <w:left w:val="nil"/>
              <w:bottom w:val="nil"/>
              <w:right w:val="nil"/>
            </w:tcBorders>
          </w:tcPr>
          <w:p w14:paraId="7D2FD5C0" w14:textId="77777777"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p>
        </w:tc>
        <w:tc>
          <w:tcPr>
            <w:tcW w:w="1656" w:type="dxa"/>
            <w:tcBorders>
              <w:top w:val="single" w:sz="4" w:space="0" w:color="auto"/>
              <w:left w:val="nil"/>
              <w:bottom w:val="nil"/>
              <w:right w:val="nil"/>
            </w:tcBorders>
          </w:tcPr>
          <w:p w14:paraId="2F281C04" w14:textId="03F5804C"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4.3008***</w:t>
            </w:r>
          </w:p>
        </w:tc>
      </w:tr>
      <w:tr w:rsidR="00D76B3D" w14:paraId="2C4CC3CC" w14:textId="77777777" w:rsidTr="000D7586">
        <w:trPr>
          <w:jc w:val="center"/>
        </w:trPr>
        <w:tc>
          <w:tcPr>
            <w:tcW w:w="3816" w:type="dxa"/>
            <w:tcBorders>
              <w:top w:val="nil"/>
              <w:left w:val="nil"/>
              <w:bottom w:val="nil"/>
              <w:right w:val="nil"/>
            </w:tcBorders>
          </w:tcPr>
          <w:p w14:paraId="7103C248" w14:textId="77777777" w:rsidR="00D76B3D" w:rsidRPr="00350121" w:rsidRDefault="00D76B3D" w:rsidP="00D76B3D">
            <w:pPr>
              <w:widowControl w:val="0"/>
              <w:autoSpaceDE w:val="0"/>
              <w:autoSpaceDN w:val="0"/>
              <w:adjustRightInd w:val="0"/>
              <w:spacing w:after="0" w:line="240" w:lineRule="auto"/>
              <w:rPr>
                <w:rFonts w:ascii="Times" w:hAnsi="Times"/>
                <w:sz w:val="22"/>
                <w:szCs w:val="22"/>
              </w:rPr>
            </w:pPr>
          </w:p>
        </w:tc>
        <w:tc>
          <w:tcPr>
            <w:tcW w:w="1656" w:type="dxa"/>
            <w:tcBorders>
              <w:top w:val="nil"/>
              <w:left w:val="nil"/>
              <w:bottom w:val="nil"/>
              <w:right w:val="nil"/>
            </w:tcBorders>
          </w:tcPr>
          <w:p w14:paraId="38414AA7" w14:textId="77777777"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p>
        </w:tc>
        <w:tc>
          <w:tcPr>
            <w:tcW w:w="1656" w:type="dxa"/>
            <w:tcBorders>
              <w:top w:val="nil"/>
              <w:left w:val="nil"/>
              <w:bottom w:val="nil"/>
              <w:right w:val="nil"/>
            </w:tcBorders>
          </w:tcPr>
          <w:p w14:paraId="3BD9C44E" w14:textId="641F7A45"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(1.0742)</w:t>
            </w:r>
          </w:p>
        </w:tc>
      </w:tr>
      <w:tr w:rsidR="00D76B3D" w14:paraId="30BEC51D" w14:textId="77777777" w:rsidTr="000D7586">
        <w:trPr>
          <w:jc w:val="center"/>
        </w:trPr>
        <w:tc>
          <w:tcPr>
            <w:tcW w:w="3816" w:type="dxa"/>
            <w:tcBorders>
              <w:top w:val="nil"/>
              <w:left w:val="nil"/>
              <w:bottom w:val="nil"/>
              <w:right w:val="nil"/>
            </w:tcBorders>
          </w:tcPr>
          <w:p w14:paraId="18002C53" w14:textId="51559219" w:rsidR="00D76B3D" w:rsidRPr="00350121" w:rsidRDefault="00D76B3D" w:rsidP="00D76B3D">
            <w:pPr>
              <w:widowControl w:val="0"/>
              <w:autoSpaceDE w:val="0"/>
              <w:autoSpaceDN w:val="0"/>
              <w:adjustRightInd w:val="0"/>
              <w:spacing w:after="0" w:line="240" w:lineRule="auto"/>
              <w:rPr>
                <w:rFonts w:ascii="Times" w:hAnsi="Times"/>
                <w:sz w:val="22"/>
                <w:szCs w:val="22"/>
              </w:rPr>
            </w:pPr>
            <w:r>
              <w:t>Geographic Contiguity</w:t>
            </w:r>
          </w:p>
        </w:tc>
        <w:tc>
          <w:tcPr>
            <w:tcW w:w="1656" w:type="dxa"/>
            <w:tcBorders>
              <w:top w:val="nil"/>
              <w:left w:val="nil"/>
              <w:bottom w:val="nil"/>
              <w:right w:val="nil"/>
            </w:tcBorders>
          </w:tcPr>
          <w:p w14:paraId="59B11D01" w14:textId="35F624CB"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-0.0003</w:t>
            </w:r>
          </w:p>
        </w:tc>
        <w:tc>
          <w:tcPr>
            <w:tcW w:w="1656" w:type="dxa"/>
            <w:tcBorders>
              <w:top w:val="nil"/>
              <w:left w:val="nil"/>
              <w:bottom w:val="nil"/>
              <w:right w:val="nil"/>
            </w:tcBorders>
          </w:tcPr>
          <w:p w14:paraId="7AB299AF" w14:textId="47CEDE8D"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0.0667***</w:t>
            </w:r>
          </w:p>
        </w:tc>
      </w:tr>
      <w:tr w:rsidR="00D76B3D" w14:paraId="453949F8" w14:textId="77777777" w:rsidTr="000D7586">
        <w:trPr>
          <w:jc w:val="center"/>
        </w:trPr>
        <w:tc>
          <w:tcPr>
            <w:tcW w:w="3816" w:type="dxa"/>
            <w:tcBorders>
              <w:top w:val="nil"/>
              <w:left w:val="nil"/>
              <w:bottom w:val="nil"/>
              <w:right w:val="nil"/>
            </w:tcBorders>
          </w:tcPr>
          <w:p w14:paraId="219CAACD" w14:textId="77777777" w:rsidR="00D76B3D" w:rsidRPr="00350121" w:rsidRDefault="00D76B3D" w:rsidP="00D76B3D">
            <w:pPr>
              <w:widowControl w:val="0"/>
              <w:autoSpaceDE w:val="0"/>
              <w:autoSpaceDN w:val="0"/>
              <w:adjustRightInd w:val="0"/>
              <w:spacing w:after="0" w:line="240" w:lineRule="auto"/>
              <w:rPr>
                <w:rFonts w:ascii="Times" w:hAnsi="Times"/>
                <w:sz w:val="22"/>
                <w:szCs w:val="22"/>
              </w:rPr>
            </w:pPr>
          </w:p>
        </w:tc>
        <w:tc>
          <w:tcPr>
            <w:tcW w:w="1656" w:type="dxa"/>
            <w:tcBorders>
              <w:top w:val="nil"/>
              <w:left w:val="nil"/>
              <w:bottom w:val="nil"/>
              <w:right w:val="nil"/>
            </w:tcBorders>
          </w:tcPr>
          <w:p w14:paraId="125135F8" w14:textId="5682BD19"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(0.0003)</w:t>
            </w:r>
          </w:p>
        </w:tc>
        <w:tc>
          <w:tcPr>
            <w:tcW w:w="1656" w:type="dxa"/>
            <w:tcBorders>
              <w:top w:val="nil"/>
              <w:left w:val="nil"/>
              <w:bottom w:val="nil"/>
              <w:right w:val="nil"/>
            </w:tcBorders>
          </w:tcPr>
          <w:p w14:paraId="5090271C" w14:textId="3EB6B797"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(0.0147)</w:t>
            </w:r>
          </w:p>
        </w:tc>
      </w:tr>
      <w:tr w:rsidR="00D76B3D" w14:paraId="60014581" w14:textId="77777777" w:rsidTr="000D7586">
        <w:trPr>
          <w:jc w:val="center"/>
        </w:trPr>
        <w:tc>
          <w:tcPr>
            <w:tcW w:w="3816" w:type="dxa"/>
            <w:tcBorders>
              <w:top w:val="nil"/>
              <w:left w:val="nil"/>
              <w:bottom w:val="nil"/>
              <w:right w:val="nil"/>
            </w:tcBorders>
          </w:tcPr>
          <w:p w14:paraId="41D77F0B" w14:textId="7FCA7BD8" w:rsidR="00D76B3D" w:rsidRPr="00350121" w:rsidRDefault="00D76B3D" w:rsidP="00D76B3D">
            <w:pPr>
              <w:widowControl w:val="0"/>
              <w:autoSpaceDE w:val="0"/>
              <w:autoSpaceDN w:val="0"/>
              <w:adjustRightInd w:val="0"/>
              <w:spacing w:after="0" w:line="240" w:lineRule="auto"/>
              <w:rPr>
                <w:rFonts w:ascii="Times" w:hAnsi="Times"/>
                <w:sz w:val="22"/>
                <w:szCs w:val="22"/>
              </w:rPr>
            </w:pPr>
            <w:r>
              <w:t xml:space="preserve">Latent Ties </w:t>
            </w:r>
          </w:p>
        </w:tc>
        <w:tc>
          <w:tcPr>
            <w:tcW w:w="1656" w:type="dxa"/>
            <w:tcBorders>
              <w:top w:val="nil"/>
              <w:left w:val="nil"/>
              <w:bottom w:val="nil"/>
              <w:right w:val="nil"/>
            </w:tcBorders>
          </w:tcPr>
          <w:p w14:paraId="03319B92" w14:textId="5D107FBB"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-0.0003</w:t>
            </w:r>
          </w:p>
        </w:tc>
        <w:tc>
          <w:tcPr>
            <w:tcW w:w="1656" w:type="dxa"/>
            <w:tcBorders>
              <w:top w:val="nil"/>
              <w:left w:val="nil"/>
              <w:bottom w:val="nil"/>
              <w:right w:val="nil"/>
            </w:tcBorders>
          </w:tcPr>
          <w:p w14:paraId="2129E9F6" w14:textId="64395C0B"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0.0318**</w:t>
            </w:r>
          </w:p>
        </w:tc>
      </w:tr>
      <w:tr w:rsidR="00D76B3D" w14:paraId="42CF2E69" w14:textId="77777777" w:rsidTr="000D7586">
        <w:trPr>
          <w:jc w:val="center"/>
        </w:trPr>
        <w:tc>
          <w:tcPr>
            <w:tcW w:w="3816" w:type="dxa"/>
            <w:tcBorders>
              <w:top w:val="nil"/>
              <w:left w:val="nil"/>
              <w:bottom w:val="nil"/>
              <w:right w:val="nil"/>
            </w:tcBorders>
          </w:tcPr>
          <w:p w14:paraId="2BD44D1E" w14:textId="77777777" w:rsidR="00D76B3D" w:rsidRPr="00350121" w:rsidRDefault="00D76B3D" w:rsidP="00D76B3D">
            <w:pPr>
              <w:widowControl w:val="0"/>
              <w:autoSpaceDE w:val="0"/>
              <w:autoSpaceDN w:val="0"/>
              <w:adjustRightInd w:val="0"/>
              <w:spacing w:after="0" w:line="240" w:lineRule="auto"/>
              <w:rPr>
                <w:rFonts w:ascii="Times" w:hAnsi="Times"/>
                <w:sz w:val="22"/>
                <w:szCs w:val="22"/>
              </w:rPr>
            </w:pPr>
          </w:p>
        </w:tc>
        <w:tc>
          <w:tcPr>
            <w:tcW w:w="1656" w:type="dxa"/>
            <w:tcBorders>
              <w:top w:val="nil"/>
              <w:left w:val="nil"/>
              <w:bottom w:val="nil"/>
              <w:right w:val="nil"/>
            </w:tcBorders>
          </w:tcPr>
          <w:p w14:paraId="0A9F36EB" w14:textId="0D7A9916"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(0.0003)</w:t>
            </w:r>
          </w:p>
        </w:tc>
        <w:tc>
          <w:tcPr>
            <w:tcW w:w="1656" w:type="dxa"/>
            <w:tcBorders>
              <w:top w:val="nil"/>
              <w:left w:val="nil"/>
              <w:bottom w:val="nil"/>
              <w:right w:val="nil"/>
            </w:tcBorders>
          </w:tcPr>
          <w:p w14:paraId="190A7FA2" w14:textId="490EA211"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(0.0120)</w:t>
            </w:r>
          </w:p>
        </w:tc>
      </w:tr>
      <w:tr w:rsidR="00D76B3D" w14:paraId="1BF7DC69" w14:textId="77777777" w:rsidTr="000D7586">
        <w:trPr>
          <w:jc w:val="center"/>
        </w:trPr>
        <w:tc>
          <w:tcPr>
            <w:tcW w:w="3816" w:type="dxa"/>
            <w:tcBorders>
              <w:top w:val="nil"/>
              <w:left w:val="nil"/>
              <w:bottom w:val="nil"/>
              <w:right w:val="nil"/>
            </w:tcBorders>
          </w:tcPr>
          <w:p w14:paraId="213453B4" w14:textId="3A44E323" w:rsidR="00D76B3D" w:rsidRPr="00350121" w:rsidRDefault="00D76B3D" w:rsidP="00D76B3D">
            <w:pPr>
              <w:widowControl w:val="0"/>
              <w:autoSpaceDE w:val="0"/>
              <w:autoSpaceDN w:val="0"/>
              <w:adjustRightInd w:val="0"/>
              <w:spacing w:after="0" w:line="240" w:lineRule="auto"/>
              <w:rPr>
                <w:rFonts w:ascii="Times" w:hAnsi="Times"/>
                <w:sz w:val="22"/>
                <w:szCs w:val="22"/>
              </w:rPr>
            </w:pPr>
            <w:r>
              <w:t>Ideological Distance</w:t>
            </w:r>
          </w:p>
        </w:tc>
        <w:tc>
          <w:tcPr>
            <w:tcW w:w="1656" w:type="dxa"/>
            <w:tcBorders>
              <w:top w:val="nil"/>
              <w:left w:val="nil"/>
              <w:bottom w:val="nil"/>
              <w:right w:val="nil"/>
            </w:tcBorders>
          </w:tcPr>
          <w:p w14:paraId="6F7BE6E5" w14:textId="0CE8E953"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0.0003***</w:t>
            </w:r>
          </w:p>
        </w:tc>
        <w:tc>
          <w:tcPr>
            <w:tcW w:w="1656" w:type="dxa"/>
            <w:tcBorders>
              <w:top w:val="nil"/>
              <w:left w:val="nil"/>
              <w:bottom w:val="nil"/>
              <w:right w:val="nil"/>
            </w:tcBorders>
          </w:tcPr>
          <w:p w14:paraId="7F55DC78" w14:textId="3F9619FF"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-0.0048*</w:t>
            </w:r>
          </w:p>
        </w:tc>
      </w:tr>
      <w:tr w:rsidR="00D76B3D" w14:paraId="4748105C" w14:textId="77777777" w:rsidTr="000D7586">
        <w:trPr>
          <w:jc w:val="center"/>
        </w:trPr>
        <w:tc>
          <w:tcPr>
            <w:tcW w:w="3816" w:type="dxa"/>
            <w:tcBorders>
              <w:top w:val="nil"/>
              <w:left w:val="nil"/>
              <w:bottom w:val="nil"/>
              <w:right w:val="nil"/>
            </w:tcBorders>
          </w:tcPr>
          <w:p w14:paraId="0ECF6284" w14:textId="77777777" w:rsidR="00D76B3D" w:rsidRPr="00350121" w:rsidRDefault="00D76B3D" w:rsidP="00D76B3D">
            <w:pPr>
              <w:widowControl w:val="0"/>
              <w:autoSpaceDE w:val="0"/>
              <w:autoSpaceDN w:val="0"/>
              <w:adjustRightInd w:val="0"/>
              <w:spacing w:after="0" w:line="240" w:lineRule="auto"/>
              <w:rPr>
                <w:rFonts w:ascii="Times" w:hAnsi="Times"/>
                <w:sz w:val="22"/>
                <w:szCs w:val="22"/>
              </w:rPr>
            </w:pPr>
          </w:p>
        </w:tc>
        <w:tc>
          <w:tcPr>
            <w:tcW w:w="1656" w:type="dxa"/>
            <w:tcBorders>
              <w:top w:val="nil"/>
              <w:left w:val="nil"/>
              <w:bottom w:val="nil"/>
              <w:right w:val="nil"/>
            </w:tcBorders>
          </w:tcPr>
          <w:p w14:paraId="45032889" w14:textId="1C2E9C3B"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(0.0001)</w:t>
            </w:r>
          </w:p>
        </w:tc>
        <w:tc>
          <w:tcPr>
            <w:tcW w:w="1656" w:type="dxa"/>
            <w:tcBorders>
              <w:top w:val="nil"/>
              <w:left w:val="nil"/>
              <w:bottom w:val="nil"/>
              <w:right w:val="nil"/>
            </w:tcBorders>
          </w:tcPr>
          <w:p w14:paraId="2536EDA8" w14:textId="7751945B"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(0.0029)</w:t>
            </w:r>
          </w:p>
        </w:tc>
      </w:tr>
      <w:tr w:rsidR="00D76B3D" w14:paraId="4E5AE760" w14:textId="77777777" w:rsidTr="000D7586">
        <w:trPr>
          <w:jc w:val="center"/>
        </w:trPr>
        <w:tc>
          <w:tcPr>
            <w:tcW w:w="3816" w:type="dxa"/>
            <w:tcBorders>
              <w:top w:val="nil"/>
              <w:left w:val="nil"/>
              <w:bottom w:val="nil"/>
              <w:right w:val="nil"/>
            </w:tcBorders>
          </w:tcPr>
          <w:p w14:paraId="32A87A75" w14:textId="1B207056" w:rsidR="00D76B3D" w:rsidRPr="00350121" w:rsidRDefault="00D76B3D" w:rsidP="00D76B3D">
            <w:pPr>
              <w:widowControl w:val="0"/>
              <w:autoSpaceDE w:val="0"/>
              <w:autoSpaceDN w:val="0"/>
              <w:adjustRightInd w:val="0"/>
              <w:spacing w:after="0" w:line="240" w:lineRule="auto"/>
              <w:rPr>
                <w:rFonts w:ascii="Times" w:hAnsi="Times"/>
                <w:sz w:val="22"/>
                <w:szCs w:val="22"/>
              </w:rPr>
            </w:pPr>
            <w:r>
              <w:t>Population</w:t>
            </w:r>
          </w:p>
        </w:tc>
        <w:tc>
          <w:tcPr>
            <w:tcW w:w="1656" w:type="dxa"/>
            <w:tcBorders>
              <w:top w:val="nil"/>
              <w:left w:val="nil"/>
              <w:bottom w:val="nil"/>
              <w:right w:val="nil"/>
            </w:tcBorders>
          </w:tcPr>
          <w:p w14:paraId="046E969A" w14:textId="1653EB81"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0.0035***</w:t>
            </w:r>
          </w:p>
        </w:tc>
        <w:tc>
          <w:tcPr>
            <w:tcW w:w="1656" w:type="dxa"/>
            <w:tcBorders>
              <w:top w:val="nil"/>
              <w:left w:val="nil"/>
              <w:bottom w:val="nil"/>
              <w:right w:val="nil"/>
            </w:tcBorders>
          </w:tcPr>
          <w:p w14:paraId="219438FC" w14:textId="3E60FA6A"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0.0303*</w:t>
            </w:r>
          </w:p>
        </w:tc>
      </w:tr>
      <w:tr w:rsidR="00D76B3D" w14:paraId="7FB42797" w14:textId="77777777" w:rsidTr="000D7586">
        <w:trPr>
          <w:jc w:val="center"/>
        </w:trPr>
        <w:tc>
          <w:tcPr>
            <w:tcW w:w="3816" w:type="dxa"/>
            <w:tcBorders>
              <w:top w:val="nil"/>
              <w:left w:val="nil"/>
              <w:bottom w:val="nil"/>
              <w:right w:val="nil"/>
            </w:tcBorders>
          </w:tcPr>
          <w:p w14:paraId="106B20D3" w14:textId="77777777" w:rsidR="00D76B3D" w:rsidRPr="00350121" w:rsidRDefault="00D76B3D" w:rsidP="00D76B3D">
            <w:pPr>
              <w:widowControl w:val="0"/>
              <w:autoSpaceDE w:val="0"/>
              <w:autoSpaceDN w:val="0"/>
              <w:adjustRightInd w:val="0"/>
              <w:spacing w:after="0" w:line="240" w:lineRule="auto"/>
              <w:rPr>
                <w:rFonts w:ascii="Times" w:hAnsi="Times"/>
                <w:sz w:val="22"/>
                <w:szCs w:val="22"/>
              </w:rPr>
            </w:pPr>
          </w:p>
        </w:tc>
        <w:tc>
          <w:tcPr>
            <w:tcW w:w="1656" w:type="dxa"/>
            <w:tcBorders>
              <w:top w:val="nil"/>
              <w:left w:val="nil"/>
              <w:bottom w:val="nil"/>
              <w:right w:val="nil"/>
            </w:tcBorders>
          </w:tcPr>
          <w:p w14:paraId="78D6F50C" w14:textId="08E4BF8E"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(0.0004)</w:t>
            </w:r>
          </w:p>
        </w:tc>
        <w:tc>
          <w:tcPr>
            <w:tcW w:w="1656" w:type="dxa"/>
            <w:tcBorders>
              <w:top w:val="nil"/>
              <w:left w:val="nil"/>
              <w:bottom w:val="nil"/>
              <w:right w:val="nil"/>
            </w:tcBorders>
          </w:tcPr>
          <w:p w14:paraId="6983C89D" w14:textId="4F1AB5AB"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(0.0180)</w:t>
            </w:r>
          </w:p>
        </w:tc>
      </w:tr>
      <w:tr w:rsidR="00D76B3D" w14:paraId="7B7A9ADC" w14:textId="77777777" w:rsidTr="000D7586">
        <w:trPr>
          <w:jc w:val="center"/>
        </w:trPr>
        <w:tc>
          <w:tcPr>
            <w:tcW w:w="3816" w:type="dxa"/>
            <w:tcBorders>
              <w:top w:val="nil"/>
              <w:left w:val="nil"/>
              <w:bottom w:val="nil"/>
              <w:right w:val="nil"/>
            </w:tcBorders>
          </w:tcPr>
          <w:p w14:paraId="3D5FD606" w14:textId="5351CDE2" w:rsidR="00D76B3D" w:rsidRPr="00350121" w:rsidRDefault="0045365C" w:rsidP="00D76B3D">
            <w:pPr>
              <w:widowControl w:val="0"/>
              <w:autoSpaceDE w:val="0"/>
              <w:autoSpaceDN w:val="0"/>
              <w:adjustRightInd w:val="0"/>
              <w:spacing w:after="0" w:line="240" w:lineRule="auto"/>
              <w:rPr>
                <w:rFonts w:ascii="Times" w:hAnsi="Times"/>
                <w:sz w:val="22"/>
                <w:szCs w:val="22"/>
              </w:rPr>
            </w:pPr>
            <w:r w:rsidRPr="0045365C">
              <w:t>Public Liberalism</w:t>
            </w:r>
          </w:p>
        </w:tc>
        <w:tc>
          <w:tcPr>
            <w:tcW w:w="1656" w:type="dxa"/>
            <w:tcBorders>
              <w:top w:val="nil"/>
              <w:left w:val="nil"/>
              <w:bottom w:val="nil"/>
              <w:right w:val="nil"/>
            </w:tcBorders>
          </w:tcPr>
          <w:p w14:paraId="20A27BEC" w14:textId="619682D7"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0.0148***</w:t>
            </w:r>
          </w:p>
        </w:tc>
        <w:tc>
          <w:tcPr>
            <w:tcW w:w="1656" w:type="dxa"/>
            <w:tcBorders>
              <w:top w:val="nil"/>
              <w:left w:val="nil"/>
              <w:bottom w:val="nil"/>
              <w:right w:val="nil"/>
            </w:tcBorders>
          </w:tcPr>
          <w:p w14:paraId="1478DB1D" w14:textId="1072363C"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-0.0346</w:t>
            </w:r>
          </w:p>
        </w:tc>
      </w:tr>
      <w:tr w:rsidR="00D76B3D" w14:paraId="60696268" w14:textId="77777777" w:rsidTr="000D7586">
        <w:trPr>
          <w:jc w:val="center"/>
        </w:trPr>
        <w:tc>
          <w:tcPr>
            <w:tcW w:w="3816" w:type="dxa"/>
            <w:tcBorders>
              <w:top w:val="nil"/>
              <w:left w:val="nil"/>
              <w:bottom w:val="nil"/>
              <w:right w:val="nil"/>
            </w:tcBorders>
          </w:tcPr>
          <w:p w14:paraId="2993D406" w14:textId="77777777" w:rsidR="00D76B3D" w:rsidRPr="00350121" w:rsidRDefault="00D76B3D" w:rsidP="00D76B3D">
            <w:pPr>
              <w:widowControl w:val="0"/>
              <w:autoSpaceDE w:val="0"/>
              <w:autoSpaceDN w:val="0"/>
              <w:adjustRightInd w:val="0"/>
              <w:spacing w:after="0" w:line="240" w:lineRule="auto"/>
              <w:rPr>
                <w:rFonts w:ascii="Times" w:hAnsi="Times"/>
                <w:sz w:val="22"/>
                <w:szCs w:val="22"/>
              </w:rPr>
            </w:pPr>
          </w:p>
        </w:tc>
        <w:tc>
          <w:tcPr>
            <w:tcW w:w="1656" w:type="dxa"/>
            <w:tcBorders>
              <w:top w:val="nil"/>
              <w:left w:val="nil"/>
              <w:bottom w:val="nil"/>
              <w:right w:val="nil"/>
            </w:tcBorders>
          </w:tcPr>
          <w:p w14:paraId="2739A573" w14:textId="6B2D1BAE"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(0.0003)</w:t>
            </w:r>
          </w:p>
        </w:tc>
        <w:tc>
          <w:tcPr>
            <w:tcW w:w="1656" w:type="dxa"/>
            <w:tcBorders>
              <w:top w:val="nil"/>
              <w:left w:val="nil"/>
              <w:bottom w:val="nil"/>
              <w:right w:val="nil"/>
            </w:tcBorders>
          </w:tcPr>
          <w:p w14:paraId="698CFA40" w14:textId="32444586"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(0.0230)</w:t>
            </w:r>
          </w:p>
        </w:tc>
      </w:tr>
      <w:tr w:rsidR="00D76B3D" w14:paraId="1941FDB8" w14:textId="77777777" w:rsidTr="000D7586">
        <w:trPr>
          <w:jc w:val="center"/>
        </w:trPr>
        <w:tc>
          <w:tcPr>
            <w:tcW w:w="3816" w:type="dxa"/>
            <w:tcBorders>
              <w:top w:val="nil"/>
              <w:left w:val="nil"/>
              <w:bottom w:val="nil"/>
              <w:right w:val="nil"/>
            </w:tcBorders>
          </w:tcPr>
          <w:p w14:paraId="45F124F8" w14:textId="4C4817A8" w:rsidR="00D76B3D" w:rsidRPr="00350121" w:rsidRDefault="00D76B3D" w:rsidP="00D76B3D">
            <w:pPr>
              <w:widowControl w:val="0"/>
              <w:autoSpaceDE w:val="0"/>
              <w:autoSpaceDN w:val="0"/>
              <w:adjustRightInd w:val="0"/>
              <w:spacing w:after="0" w:line="240" w:lineRule="auto"/>
              <w:rPr>
                <w:rFonts w:ascii="Times" w:hAnsi="Times"/>
                <w:sz w:val="22"/>
                <w:szCs w:val="22"/>
              </w:rPr>
            </w:pPr>
            <w:r>
              <w:t xml:space="preserve">Unified </w:t>
            </w:r>
            <w:r w:rsidRPr="00D76B3D">
              <w:t>Party</w:t>
            </w:r>
            <w:r>
              <w:t xml:space="preserve"> Control</w:t>
            </w:r>
          </w:p>
        </w:tc>
        <w:tc>
          <w:tcPr>
            <w:tcW w:w="1656" w:type="dxa"/>
            <w:tcBorders>
              <w:top w:val="nil"/>
              <w:left w:val="nil"/>
              <w:bottom w:val="nil"/>
              <w:right w:val="nil"/>
            </w:tcBorders>
          </w:tcPr>
          <w:p w14:paraId="4F241B3B" w14:textId="5BE1A09E"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0.0087***</w:t>
            </w:r>
          </w:p>
        </w:tc>
        <w:tc>
          <w:tcPr>
            <w:tcW w:w="1656" w:type="dxa"/>
            <w:tcBorders>
              <w:top w:val="nil"/>
              <w:left w:val="nil"/>
              <w:bottom w:val="nil"/>
              <w:right w:val="nil"/>
            </w:tcBorders>
          </w:tcPr>
          <w:p w14:paraId="373577CE" w14:textId="2EA3B4C8"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-0.0034</w:t>
            </w:r>
          </w:p>
        </w:tc>
      </w:tr>
      <w:tr w:rsidR="00D76B3D" w14:paraId="3F0F6EAD" w14:textId="77777777" w:rsidTr="000D7586">
        <w:trPr>
          <w:jc w:val="center"/>
        </w:trPr>
        <w:tc>
          <w:tcPr>
            <w:tcW w:w="3816" w:type="dxa"/>
            <w:tcBorders>
              <w:top w:val="nil"/>
              <w:left w:val="nil"/>
              <w:bottom w:val="nil"/>
              <w:right w:val="nil"/>
            </w:tcBorders>
          </w:tcPr>
          <w:p w14:paraId="4C451B9E" w14:textId="77777777" w:rsidR="00D76B3D" w:rsidRPr="00350121" w:rsidRDefault="00D76B3D" w:rsidP="00D76B3D">
            <w:pPr>
              <w:widowControl w:val="0"/>
              <w:autoSpaceDE w:val="0"/>
              <w:autoSpaceDN w:val="0"/>
              <w:adjustRightInd w:val="0"/>
              <w:spacing w:after="0" w:line="240" w:lineRule="auto"/>
              <w:rPr>
                <w:rFonts w:ascii="Times" w:hAnsi="Times"/>
                <w:sz w:val="22"/>
                <w:szCs w:val="22"/>
              </w:rPr>
            </w:pPr>
          </w:p>
        </w:tc>
        <w:tc>
          <w:tcPr>
            <w:tcW w:w="1656" w:type="dxa"/>
            <w:tcBorders>
              <w:top w:val="nil"/>
              <w:left w:val="nil"/>
              <w:bottom w:val="nil"/>
              <w:right w:val="nil"/>
            </w:tcBorders>
          </w:tcPr>
          <w:p w14:paraId="124156FD" w14:textId="7D1B64C4"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(0.0005)</w:t>
            </w:r>
          </w:p>
        </w:tc>
        <w:tc>
          <w:tcPr>
            <w:tcW w:w="1656" w:type="dxa"/>
            <w:tcBorders>
              <w:top w:val="nil"/>
              <w:left w:val="nil"/>
              <w:bottom w:val="nil"/>
              <w:right w:val="nil"/>
            </w:tcBorders>
          </w:tcPr>
          <w:p w14:paraId="6FB2F289" w14:textId="17839186"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(0.0299)</w:t>
            </w:r>
          </w:p>
        </w:tc>
      </w:tr>
      <w:tr w:rsidR="00D76B3D" w14:paraId="3C43655F" w14:textId="77777777" w:rsidTr="000D7586">
        <w:trPr>
          <w:jc w:val="center"/>
        </w:trPr>
        <w:tc>
          <w:tcPr>
            <w:tcW w:w="3816" w:type="dxa"/>
            <w:tcBorders>
              <w:top w:val="nil"/>
              <w:left w:val="nil"/>
              <w:bottom w:val="nil"/>
              <w:right w:val="nil"/>
            </w:tcBorders>
          </w:tcPr>
          <w:p w14:paraId="4612D5F3" w14:textId="2C2318DC" w:rsidR="00D76B3D" w:rsidRPr="00350121" w:rsidRDefault="00D76B3D" w:rsidP="00D76B3D">
            <w:pPr>
              <w:widowControl w:val="0"/>
              <w:autoSpaceDE w:val="0"/>
              <w:autoSpaceDN w:val="0"/>
              <w:adjustRightInd w:val="0"/>
              <w:spacing w:after="0" w:line="240" w:lineRule="auto"/>
              <w:rPr>
                <w:rFonts w:ascii="Times" w:hAnsi="Times"/>
                <w:sz w:val="22"/>
                <w:szCs w:val="22"/>
              </w:rPr>
            </w:pPr>
            <w:r>
              <w:t>Income Per Capita</w:t>
            </w:r>
          </w:p>
        </w:tc>
        <w:tc>
          <w:tcPr>
            <w:tcW w:w="1656" w:type="dxa"/>
            <w:tcBorders>
              <w:top w:val="nil"/>
              <w:left w:val="nil"/>
              <w:bottom w:val="nil"/>
              <w:right w:val="nil"/>
            </w:tcBorders>
          </w:tcPr>
          <w:p w14:paraId="5BA6AC02" w14:textId="511903BD"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0.0335***</w:t>
            </w:r>
          </w:p>
        </w:tc>
        <w:tc>
          <w:tcPr>
            <w:tcW w:w="1656" w:type="dxa"/>
            <w:tcBorders>
              <w:top w:val="nil"/>
              <w:left w:val="nil"/>
              <w:bottom w:val="nil"/>
              <w:right w:val="nil"/>
            </w:tcBorders>
          </w:tcPr>
          <w:p w14:paraId="2421B5AD" w14:textId="1A27FB2A"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-0.1647***</w:t>
            </w:r>
          </w:p>
        </w:tc>
      </w:tr>
      <w:tr w:rsidR="00D76B3D" w14:paraId="44879562" w14:textId="77777777" w:rsidTr="000D7586">
        <w:trPr>
          <w:jc w:val="center"/>
        </w:trPr>
        <w:tc>
          <w:tcPr>
            <w:tcW w:w="3816" w:type="dxa"/>
            <w:tcBorders>
              <w:top w:val="nil"/>
              <w:left w:val="nil"/>
              <w:bottom w:val="nil"/>
              <w:right w:val="nil"/>
            </w:tcBorders>
          </w:tcPr>
          <w:p w14:paraId="13AF3431" w14:textId="77777777" w:rsidR="00D76B3D" w:rsidRPr="00350121" w:rsidRDefault="00D76B3D" w:rsidP="00D76B3D">
            <w:pPr>
              <w:widowControl w:val="0"/>
              <w:autoSpaceDE w:val="0"/>
              <w:autoSpaceDN w:val="0"/>
              <w:adjustRightInd w:val="0"/>
              <w:spacing w:after="0" w:line="240" w:lineRule="auto"/>
              <w:rPr>
                <w:rFonts w:ascii="Times" w:hAnsi="Times"/>
                <w:sz w:val="22"/>
                <w:szCs w:val="22"/>
              </w:rPr>
            </w:pPr>
          </w:p>
        </w:tc>
        <w:tc>
          <w:tcPr>
            <w:tcW w:w="1656" w:type="dxa"/>
            <w:tcBorders>
              <w:top w:val="nil"/>
              <w:left w:val="nil"/>
              <w:bottom w:val="nil"/>
              <w:right w:val="nil"/>
            </w:tcBorders>
          </w:tcPr>
          <w:p w14:paraId="4372060E" w14:textId="753E0544"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(0.0004)</w:t>
            </w:r>
          </w:p>
        </w:tc>
        <w:tc>
          <w:tcPr>
            <w:tcW w:w="1656" w:type="dxa"/>
            <w:tcBorders>
              <w:top w:val="nil"/>
              <w:left w:val="nil"/>
              <w:bottom w:val="nil"/>
              <w:right w:val="nil"/>
            </w:tcBorders>
          </w:tcPr>
          <w:p w14:paraId="085F2127" w14:textId="16F4A5C5"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(0.0414)</w:t>
            </w:r>
          </w:p>
        </w:tc>
      </w:tr>
      <w:tr w:rsidR="00D76B3D" w14:paraId="60E44522" w14:textId="77777777" w:rsidTr="000D7586">
        <w:trPr>
          <w:jc w:val="center"/>
        </w:trPr>
        <w:tc>
          <w:tcPr>
            <w:tcW w:w="3816" w:type="dxa"/>
            <w:tcBorders>
              <w:top w:val="nil"/>
              <w:left w:val="nil"/>
              <w:bottom w:val="nil"/>
              <w:right w:val="nil"/>
            </w:tcBorders>
          </w:tcPr>
          <w:p w14:paraId="207A9DA1" w14:textId="3D632ECF" w:rsidR="00D76B3D" w:rsidRPr="00350121" w:rsidRDefault="00D76B3D" w:rsidP="00D76B3D">
            <w:pPr>
              <w:widowControl w:val="0"/>
              <w:autoSpaceDE w:val="0"/>
              <w:autoSpaceDN w:val="0"/>
              <w:adjustRightInd w:val="0"/>
              <w:spacing w:after="0" w:line="240" w:lineRule="auto"/>
              <w:rPr>
                <w:rFonts w:ascii="Times" w:hAnsi="Times"/>
                <w:sz w:val="22"/>
                <w:szCs w:val="22"/>
              </w:rPr>
            </w:pPr>
            <w:r>
              <w:t>Legislative Professionalism</w:t>
            </w:r>
          </w:p>
        </w:tc>
        <w:tc>
          <w:tcPr>
            <w:tcW w:w="1656" w:type="dxa"/>
            <w:tcBorders>
              <w:top w:val="nil"/>
              <w:left w:val="nil"/>
              <w:bottom w:val="nil"/>
              <w:right w:val="nil"/>
            </w:tcBorders>
          </w:tcPr>
          <w:p w14:paraId="1AFDF8D7" w14:textId="746166FF"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-0.0044***</w:t>
            </w:r>
          </w:p>
        </w:tc>
        <w:tc>
          <w:tcPr>
            <w:tcW w:w="1656" w:type="dxa"/>
            <w:tcBorders>
              <w:top w:val="nil"/>
              <w:left w:val="nil"/>
              <w:bottom w:val="nil"/>
              <w:right w:val="nil"/>
            </w:tcBorders>
          </w:tcPr>
          <w:p w14:paraId="1C40114C" w14:textId="00C9AB3E"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-0.0259</w:t>
            </w:r>
          </w:p>
        </w:tc>
      </w:tr>
      <w:tr w:rsidR="00D76B3D" w14:paraId="0CA085D4" w14:textId="77777777" w:rsidTr="000D7586">
        <w:trPr>
          <w:jc w:val="center"/>
        </w:trPr>
        <w:tc>
          <w:tcPr>
            <w:tcW w:w="3816" w:type="dxa"/>
            <w:tcBorders>
              <w:top w:val="nil"/>
              <w:left w:val="nil"/>
              <w:bottom w:val="nil"/>
              <w:right w:val="nil"/>
            </w:tcBorders>
          </w:tcPr>
          <w:p w14:paraId="303D0FDB" w14:textId="77777777" w:rsidR="00D76B3D" w:rsidRPr="00350121" w:rsidRDefault="00D76B3D" w:rsidP="00D76B3D">
            <w:pPr>
              <w:widowControl w:val="0"/>
              <w:autoSpaceDE w:val="0"/>
              <w:autoSpaceDN w:val="0"/>
              <w:adjustRightInd w:val="0"/>
              <w:spacing w:after="0" w:line="240" w:lineRule="auto"/>
              <w:rPr>
                <w:rFonts w:ascii="Times" w:hAnsi="Times"/>
                <w:sz w:val="22"/>
                <w:szCs w:val="22"/>
              </w:rPr>
            </w:pPr>
          </w:p>
        </w:tc>
        <w:tc>
          <w:tcPr>
            <w:tcW w:w="1656" w:type="dxa"/>
            <w:tcBorders>
              <w:top w:val="nil"/>
              <w:left w:val="nil"/>
              <w:bottom w:val="nil"/>
              <w:right w:val="nil"/>
            </w:tcBorders>
          </w:tcPr>
          <w:p w14:paraId="31960A9E" w14:textId="777EF5D9"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(0.0004)</w:t>
            </w:r>
          </w:p>
        </w:tc>
        <w:tc>
          <w:tcPr>
            <w:tcW w:w="1656" w:type="dxa"/>
            <w:tcBorders>
              <w:top w:val="nil"/>
              <w:left w:val="nil"/>
              <w:bottom w:val="nil"/>
              <w:right w:val="nil"/>
            </w:tcBorders>
          </w:tcPr>
          <w:p w14:paraId="642222DE" w14:textId="4EC41E9C"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(0.0232)</w:t>
            </w:r>
          </w:p>
        </w:tc>
      </w:tr>
      <w:tr w:rsidR="00D76B3D" w14:paraId="21C6B76F" w14:textId="77777777" w:rsidTr="000D7586">
        <w:trPr>
          <w:jc w:val="center"/>
        </w:trPr>
        <w:tc>
          <w:tcPr>
            <w:tcW w:w="3816" w:type="dxa"/>
            <w:tcBorders>
              <w:top w:val="nil"/>
              <w:left w:val="nil"/>
              <w:bottom w:val="nil"/>
              <w:right w:val="nil"/>
            </w:tcBorders>
          </w:tcPr>
          <w:p w14:paraId="053ACE11" w14:textId="3AD67357" w:rsidR="00D76B3D" w:rsidRPr="00350121" w:rsidRDefault="00D76B3D" w:rsidP="00D76B3D">
            <w:pPr>
              <w:widowControl w:val="0"/>
              <w:autoSpaceDE w:val="0"/>
              <w:autoSpaceDN w:val="0"/>
              <w:adjustRightInd w:val="0"/>
              <w:spacing w:after="0" w:line="240" w:lineRule="auto"/>
              <w:rPr>
                <w:rFonts w:ascii="Times" w:hAnsi="Times"/>
                <w:sz w:val="22"/>
                <w:szCs w:val="22"/>
              </w:rPr>
            </w:pPr>
            <w:r>
              <w:t>Percent High School</w:t>
            </w:r>
          </w:p>
        </w:tc>
        <w:tc>
          <w:tcPr>
            <w:tcW w:w="1656" w:type="dxa"/>
            <w:tcBorders>
              <w:top w:val="nil"/>
              <w:left w:val="nil"/>
              <w:bottom w:val="nil"/>
              <w:right w:val="nil"/>
            </w:tcBorders>
          </w:tcPr>
          <w:p w14:paraId="3C00108F" w14:textId="162F6A39"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0.0022***</w:t>
            </w:r>
          </w:p>
        </w:tc>
        <w:tc>
          <w:tcPr>
            <w:tcW w:w="1656" w:type="dxa"/>
            <w:tcBorders>
              <w:top w:val="nil"/>
              <w:left w:val="nil"/>
              <w:bottom w:val="nil"/>
              <w:right w:val="nil"/>
            </w:tcBorders>
          </w:tcPr>
          <w:p w14:paraId="69880222" w14:textId="5BE494D0"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-0.0011</w:t>
            </w:r>
          </w:p>
        </w:tc>
      </w:tr>
      <w:tr w:rsidR="00D76B3D" w14:paraId="3BACCB0D" w14:textId="77777777" w:rsidTr="000D7586">
        <w:trPr>
          <w:jc w:val="center"/>
        </w:trPr>
        <w:tc>
          <w:tcPr>
            <w:tcW w:w="3816" w:type="dxa"/>
            <w:tcBorders>
              <w:top w:val="nil"/>
              <w:left w:val="nil"/>
              <w:bottom w:val="nil"/>
              <w:right w:val="nil"/>
            </w:tcBorders>
          </w:tcPr>
          <w:p w14:paraId="5F77D212" w14:textId="77777777" w:rsidR="00D76B3D" w:rsidRPr="00350121" w:rsidRDefault="00D76B3D" w:rsidP="00D76B3D">
            <w:pPr>
              <w:widowControl w:val="0"/>
              <w:autoSpaceDE w:val="0"/>
              <w:autoSpaceDN w:val="0"/>
              <w:adjustRightInd w:val="0"/>
              <w:spacing w:after="0" w:line="240" w:lineRule="auto"/>
              <w:rPr>
                <w:rFonts w:ascii="Times" w:hAnsi="Times"/>
                <w:sz w:val="22"/>
                <w:szCs w:val="22"/>
              </w:rPr>
            </w:pPr>
          </w:p>
        </w:tc>
        <w:tc>
          <w:tcPr>
            <w:tcW w:w="1656" w:type="dxa"/>
            <w:tcBorders>
              <w:top w:val="nil"/>
              <w:left w:val="nil"/>
              <w:bottom w:val="nil"/>
              <w:right w:val="nil"/>
            </w:tcBorders>
          </w:tcPr>
          <w:p w14:paraId="12C2F7F3" w14:textId="1B78BCE1"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(0.0001)</w:t>
            </w:r>
          </w:p>
        </w:tc>
        <w:tc>
          <w:tcPr>
            <w:tcW w:w="1656" w:type="dxa"/>
            <w:tcBorders>
              <w:top w:val="nil"/>
              <w:left w:val="nil"/>
              <w:bottom w:val="nil"/>
              <w:right w:val="nil"/>
            </w:tcBorders>
          </w:tcPr>
          <w:p w14:paraId="5CAEDEF9" w14:textId="582C73B9"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(0.0065)</w:t>
            </w:r>
          </w:p>
        </w:tc>
      </w:tr>
      <w:tr w:rsidR="00D76B3D" w14:paraId="405EE1B0" w14:textId="77777777" w:rsidTr="000D7586">
        <w:trPr>
          <w:jc w:val="center"/>
        </w:trPr>
        <w:tc>
          <w:tcPr>
            <w:tcW w:w="3816" w:type="dxa"/>
            <w:tcBorders>
              <w:top w:val="nil"/>
              <w:left w:val="nil"/>
              <w:bottom w:val="nil"/>
              <w:right w:val="nil"/>
            </w:tcBorders>
          </w:tcPr>
          <w:p w14:paraId="66FA21A6" w14:textId="5929EE6F" w:rsidR="00D76B3D" w:rsidRDefault="00D76B3D" w:rsidP="00D76B3D">
            <w:pPr>
              <w:widowControl w:val="0"/>
              <w:autoSpaceDE w:val="0"/>
              <w:autoSpaceDN w:val="0"/>
              <w:adjustRightInd w:val="0"/>
              <w:spacing w:after="0" w:line="240" w:lineRule="auto"/>
            </w:pPr>
            <w:r>
              <w:t>Proportion Black</w:t>
            </w:r>
          </w:p>
        </w:tc>
        <w:tc>
          <w:tcPr>
            <w:tcW w:w="1656" w:type="dxa"/>
            <w:tcBorders>
              <w:top w:val="nil"/>
              <w:left w:val="nil"/>
              <w:bottom w:val="nil"/>
              <w:right w:val="nil"/>
            </w:tcBorders>
          </w:tcPr>
          <w:p w14:paraId="24E9D2B8" w14:textId="01F2BAE4" w:rsidR="00D76B3D" w:rsidRDefault="00D76B3D" w:rsidP="00D76B3D">
            <w:pPr>
              <w:widowControl w:val="0"/>
              <w:autoSpaceDE w:val="0"/>
              <w:autoSpaceDN w:val="0"/>
              <w:adjustRightInd w:val="0"/>
              <w:spacing w:after="0" w:line="240" w:lineRule="auto"/>
              <w:jc w:val="center"/>
            </w:pPr>
            <w:r>
              <w:t>0.0010***</w:t>
            </w:r>
          </w:p>
        </w:tc>
        <w:tc>
          <w:tcPr>
            <w:tcW w:w="1656" w:type="dxa"/>
            <w:tcBorders>
              <w:top w:val="nil"/>
              <w:left w:val="nil"/>
              <w:bottom w:val="nil"/>
              <w:right w:val="nil"/>
            </w:tcBorders>
          </w:tcPr>
          <w:p w14:paraId="3945A886" w14:textId="3C607638" w:rsidR="00D76B3D" w:rsidRDefault="00D76B3D" w:rsidP="00D76B3D">
            <w:pPr>
              <w:widowControl w:val="0"/>
              <w:autoSpaceDE w:val="0"/>
              <w:autoSpaceDN w:val="0"/>
              <w:adjustRightInd w:val="0"/>
              <w:spacing w:after="0" w:line="240" w:lineRule="auto"/>
              <w:jc w:val="center"/>
            </w:pPr>
            <w:r>
              <w:t>-0.0061</w:t>
            </w:r>
          </w:p>
        </w:tc>
      </w:tr>
      <w:tr w:rsidR="00D76B3D" w14:paraId="4AED58B4" w14:textId="77777777" w:rsidTr="000D7586">
        <w:trPr>
          <w:jc w:val="center"/>
        </w:trPr>
        <w:tc>
          <w:tcPr>
            <w:tcW w:w="3816" w:type="dxa"/>
            <w:tcBorders>
              <w:top w:val="nil"/>
              <w:left w:val="nil"/>
              <w:bottom w:val="nil"/>
              <w:right w:val="nil"/>
            </w:tcBorders>
          </w:tcPr>
          <w:p w14:paraId="219B0B09" w14:textId="77777777" w:rsidR="00D76B3D" w:rsidRDefault="00D76B3D" w:rsidP="00D76B3D">
            <w:pPr>
              <w:widowControl w:val="0"/>
              <w:autoSpaceDE w:val="0"/>
              <w:autoSpaceDN w:val="0"/>
              <w:adjustRightInd w:val="0"/>
              <w:spacing w:after="0" w:line="240" w:lineRule="auto"/>
            </w:pPr>
          </w:p>
        </w:tc>
        <w:tc>
          <w:tcPr>
            <w:tcW w:w="1656" w:type="dxa"/>
            <w:tcBorders>
              <w:top w:val="nil"/>
              <w:left w:val="nil"/>
              <w:bottom w:val="nil"/>
              <w:right w:val="nil"/>
            </w:tcBorders>
          </w:tcPr>
          <w:p w14:paraId="54031423" w14:textId="57F86450" w:rsidR="00D76B3D" w:rsidRDefault="00D76B3D" w:rsidP="00D76B3D">
            <w:pPr>
              <w:widowControl w:val="0"/>
              <w:autoSpaceDE w:val="0"/>
              <w:autoSpaceDN w:val="0"/>
              <w:adjustRightInd w:val="0"/>
              <w:spacing w:after="0" w:line="240" w:lineRule="auto"/>
              <w:jc w:val="center"/>
            </w:pPr>
            <w:r>
              <w:t>(0.0001)</w:t>
            </w:r>
          </w:p>
        </w:tc>
        <w:tc>
          <w:tcPr>
            <w:tcW w:w="1656" w:type="dxa"/>
            <w:tcBorders>
              <w:top w:val="nil"/>
              <w:left w:val="nil"/>
              <w:bottom w:val="nil"/>
              <w:right w:val="nil"/>
            </w:tcBorders>
          </w:tcPr>
          <w:p w14:paraId="15286D14" w14:textId="5BA41F67" w:rsidR="00D76B3D" w:rsidRDefault="00D76B3D" w:rsidP="00D76B3D">
            <w:pPr>
              <w:widowControl w:val="0"/>
              <w:autoSpaceDE w:val="0"/>
              <w:autoSpaceDN w:val="0"/>
              <w:adjustRightInd w:val="0"/>
              <w:spacing w:after="0" w:line="240" w:lineRule="auto"/>
              <w:jc w:val="center"/>
            </w:pPr>
            <w:r>
              <w:t>(0.0074)</w:t>
            </w:r>
          </w:p>
        </w:tc>
      </w:tr>
      <w:tr w:rsidR="00D76B3D" w14:paraId="5FC0ECC9" w14:textId="77777777" w:rsidTr="000D7586">
        <w:trPr>
          <w:jc w:val="center"/>
        </w:trPr>
        <w:tc>
          <w:tcPr>
            <w:tcW w:w="3816" w:type="dxa"/>
            <w:tcBorders>
              <w:top w:val="nil"/>
              <w:left w:val="nil"/>
              <w:bottom w:val="nil"/>
              <w:right w:val="nil"/>
            </w:tcBorders>
          </w:tcPr>
          <w:p w14:paraId="6EF68E55" w14:textId="1C9E732D" w:rsidR="00D76B3D" w:rsidRPr="00350121" w:rsidRDefault="00D76B3D" w:rsidP="00D76B3D">
            <w:pPr>
              <w:widowControl w:val="0"/>
              <w:autoSpaceDE w:val="0"/>
              <w:autoSpaceDN w:val="0"/>
              <w:adjustRightInd w:val="0"/>
              <w:spacing w:after="0" w:line="240" w:lineRule="auto"/>
              <w:rPr>
                <w:rFonts w:ascii="Times" w:hAnsi="Times"/>
                <w:sz w:val="22"/>
                <w:szCs w:val="22"/>
              </w:rPr>
            </w:pPr>
            <w:r>
              <w:t>Duration</w:t>
            </w:r>
          </w:p>
        </w:tc>
        <w:tc>
          <w:tcPr>
            <w:tcW w:w="1656" w:type="dxa"/>
            <w:tcBorders>
              <w:top w:val="nil"/>
              <w:left w:val="nil"/>
              <w:bottom w:val="nil"/>
              <w:right w:val="nil"/>
            </w:tcBorders>
          </w:tcPr>
          <w:p w14:paraId="03BF4034" w14:textId="36FE389D"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-0.0010</w:t>
            </w:r>
          </w:p>
        </w:tc>
        <w:tc>
          <w:tcPr>
            <w:tcW w:w="1656" w:type="dxa"/>
            <w:tcBorders>
              <w:top w:val="nil"/>
              <w:left w:val="nil"/>
              <w:bottom w:val="nil"/>
              <w:right w:val="nil"/>
            </w:tcBorders>
          </w:tcPr>
          <w:p w14:paraId="5B0EBEF7" w14:textId="6A622A13"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-0.0002</w:t>
            </w:r>
          </w:p>
        </w:tc>
      </w:tr>
      <w:tr w:rsidR="00D76B3D" w14:paraId="02E55149" w14:textId="77777777" w:rsidTr="000D7586">
        <w:trPr>
          <w:jc w:val="center"/>
        </w:trPr>
        <w:tc>
          <w:tcPr>
            <w:tcW w:w="3816" w:type="dxa"/>
            <w:tcBorders>
              <w:top w:val="nil"/>
              <w:left w:val="nil"/>
              <w:bottom w:val="nil"/>
              <w:right w:val="nil"/>
            </w:tcBorders>
          </w:tcPr>
          <w:p w14:paraId="0748B9CF" w14:textId="77777777" w:rsidR="00D76B3D" w:rsidRPr="00350121" w:rsidRDefault="00D76B3D" w:rsidP="00D76B3D">
            <w:pPr>
              <w:widowControl w:val="0"/>
              <w:autoSpaceDE w:val="0"/>
              <w:autoSpaceDN w:val="0"/>
              <w:adjustRightInd w:val="0"/>
              <w:spacing w:after="0" w:line="240" w:lineRule="auto"/>
              <w:rPr>
                <w:rFonts w:ascii="Times" w:hAnsi="Times"/>
                <w:sz w:val="22"/>
                <w:szCs w:val="22"/>
              </w:rPr>
            </w:pPr>
          </w:p>
        </w:tc>
        <w:tc>
          <w:tcPr>
            <w:tcW w:w="1656" w:type="dxa"/>
            <w:tcBorders>
              <w:top w:val="nil"/>
              <w:left w:val="nil"/>
              <w:bottom w:val="nil"/>
              <w:right w:val="nil"/>
            </w:tcBorders>
          </w:tcPr>
          <w:p w14:paraId="0C0CE510" w14:textId="0201C1C7"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(0.0007)</w:t>
            </w:r>
          </w:p>
        </w:tc>
        <w:tc>
          <w:tcPr>
            <w:tcW w:w="1656" w:type="dxa"/>
            <w:tcBorders>
              <w:top w:val="nil"/>
              <w:left w:val="nil"/>
              <w:bottom w:val="nil"/>
              <w:right w:val="nil"/>
            </w:tcBorders>
          </w:tcPr>
          <w:p w14:paraId="65BC4664" w14:textId="1B0A66F0"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(0.0357)</w:t>
            </w:r>
          </w:p>
        </w:tc>
      </w:tr>
      <w:tr w:rsidR="00D76B3D" w14:paraId="6A33F4D2" w14:textId="77777777" w:rsidTr="000D7586">
        <w:trPr>
          <w:jc w:val="center"/>
        </w:trPr>
        <w:tc>
          <w:tcPr>
            <w:tcW w:w="3816" w:type="dxa"/>
            <w:tcBorders>
              <w:top w:val="nil"/>
              <w:left w:val="nil"/>
              <w:bottom w:val="nil"/>
              <w:right w:val="nil"/>
            </w:tcBorders>
          </w:tcPr>
          <w:p w14:paraId="326C00A9" w14:textId="166E3004" w:rsidR="00D76B3D" w:rsidRPr="00350121" w:rsidRDefault="00D76B3D" w:rsidP="00D76B3D">
            <w:pPr>
              <w:widowControl w:val="0"/>
              <w:autoSpaceDE w:val="0"/>
              <w:autoSpaceDN w:val="0"/>
              <w:adjustRightInd w:val="0"/>
              <w:spacing w:after="0" w:line="240" w:lineRule="auto"/>
              <w:rPr>
                <w:rFonts w:ascii="Times" w:hAnsi="Times"/>
                <w:sz w:val="22"/>
                <w:szCs w:val="22"/>
              </w:rPr>
            </w:pPr>
            <w:r>
              <w:t>Duration Squared</w:t>
            </w:r>
          </w:p>
        </w:tc>
        <w:tc>
          <w:tcPr>
            <w:tcW w:w="1656" w:type="dxa"/>
            <w:tcBorders>
              <w:top w:val="nil"/>
              <w:left w:val="nil"/>
              <w:bottom w:val="nil"/>
              <w:right w:val="nil"/>
            </w:tcBorders>
          </w:tcPr>
          <w:p w14:paraId="74623480" w14:textId="24C58D70"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0.0001</w:t>
            </w:r>
          </w:p>
        </w:tc>
        <w:tc>
          <w:tcPr>
            <w:tcW w:w="1656" w:type="dxa"/>
            <w:tcBorders>
              <w:top w:val="nil"/>
              <w:left w:val="nil"/>
              <w:bottom w:val="nil"/>
              <w:right w:val="nil"/>
            </w:tcBorders>
          </w:tcPr>
          <w:p w14:paraId="768512ED" w14:textId="3AA73F7A"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-0.0033</w:t>
            </w:r>
          </w:p>
        </w:tc>
      </w:tr>
      <w:tr w:rsidR="00D76B3D" w14:paraId="24633D4F" w14:textId="77777777" w:rsidTr="000D7586">
        <w:trPr>
          <w:jc w:val="center"/>
        </w:trPr>
        <w:tc>
          <w:tcPr>
            <w:tcW w:w="3816" w:type="dxa"/>
            <w:tcBorders>
              <w:top w:val="nil"/>
              <w:left w:val="nil"/>
              <w:bottom w:val="nil"/>
              <w:right w:val="nil"/>
            </w:tcBorders>
          </w:tcPr>
          <w:p w14:paraId="66441DB0" w14:textId="77777777" w:rsidR="00D76B3D" w:rsidRPr="00350121" w:rsidRDefault="00D76B3D" w:rsidP="00D76B3D">
            <w:pPr>
              <w:widowControl w:val="0"/>
              <w:autoSpaceDE w:val="0"/>
              <w:autoSpaceDN w:val="0"/>
              <w:adjustRightInd w:val="0"/>
              <w:spacing w:after="0" w:line="240" w:lineRule="auto"/>
              <w:rPr>
                <w:rFonts w:ascii="Times" w:hAnsi="Times"/>
                <w:sz w:val="22"/>
                <w:szCs w:val="22"/>
              </w:rPr>
            </w:pPr>
          </w:p>
        </w:tc>
        <w:tc>
          <w:tcPr>
            <w:tcW w:w="1656" w:type="dxa"/>
            <w:tcBorders>
              <w:top w:val="nil"/>
              <w:left w:val="nil"/>
              <w:bottom w:val="nil"/>
              <w:right w:val="nil"/>
            </w:tcBorders>
          </w:tcPr>
          <w:p w14:paraId="5E33DD60" w14:textId="406E7D8B"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(0.0001)</w:t>
            </w:r>
          </w:p>
        </w:tc>
        <w:tc>
          <w:tcPr>
            <w:tcW w:w="1656" w:type="dxa"/>
            <w:tcBorders>
              <w:top w:val="nil"/>
              <w:left w:val="nil"/>
              <w:bottom w:val="nil"/>
              <w:right w:val="nil"/>
            </w:tcBorders>
          </w:tcPr>
          <w:p w14:paraId="06C0900F" w14:textId="1CF9BF4B"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(0.0054)</w:t>
            </w:r>
          </w:p>
        </w:tc>
      </w:tr>
      <w:tr w:rsidR="00D76B3D" w14:paraId="604C3496" w14:textId="77777777" w:rsidTr="000D7586">
        <w:trPr>
          <w:jc w:val="center"/>
        </w:trPr>
        <w:tc>
          <w:tcPr>
            <w:tcW w:w="3816" w:type="dxa"/>
            <w:tcBorders>
              <w:top w:val="nil"/>
              <w:left w:val="nil"/>
              <w:bottom w:val="nil"/>
              <w:right w:val="nil"/>
            </w:tcBorders>
          </w:tcPr>
          <w:p w14:paraId="0E33B979" w14:textId="2D1015D8" w:rsidR="00D76B3D" w:rsidRPr="00350121" w:rsidRDefault="00D76B3D" w:rsidP="00D76B3D">
            <w:pPr>
              <w:widowControl w:val="0"/>
              <w:autoSpaceDE w:val="0"/>
              <w:autoSpaceDN w:val="0"/>
              <w:adjustRightInd w:val="0"/>
              <w:spacing w:after="0" w:line="240" w:lineRule="auto"/>
              <w:rPr>
                <w:rFonts w:ascii="Times" w:hAnsi="Times"/>
                <w:sz w:val="22"/>
                <w:szCs w:val="22"/>
              </w:rPr>
            </w:pPr>
            <w:r>
              <w:t>Duration Cubed</w:t>
            </w:r>
          </w:p>
        </w:tc>
        <w:tc>
          <w:tcPr>
            <w:tcW w:w="1656" w:type="dxa"/>
            <w:tcBorders>
              <w:top w:val="nil"/>
              <w:left w:val="nil"/>
              <w:bottom w:val="nil"/>
              <w:right w:val="nil"/>
            </w:tcBorders>
          </w:tcPr>
          <w:p w14:paraId="715F0C27" w14:textId="60478607"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-0.0000</w:t>
            </w:r>
          </w:p>
        </w:tc>
        <w:tc>
          <w:tcPr>
            <w:tcW w:w="1656" w:type="dxa"/>
            <w:tcBorders>
              <w:top w:val="nil"/>
              <w:left w:val="nil"/>
              <w:bottom w:val="nil"/>
              <w:right w:val="nil"/>
            </w:tcBorders>
          </w:tcPr>
          <w:p w14:paraId="66623305" w14:textId="243B6A61"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0.0001</w:t>
            </w:r>
          </w:p>
        </w:tc>
      </w:tr>
      <w:tr w:rsidR="00D76B3D" w14:paraId="6BBE5801" w14:textId="77777777" w:rsidTr="000D7586">
        <w:trPr>
          <w:jc w:val="center"/>
        </w:trPr>
        <w:tc>
          <w:tcPr>
            <w:tcW w:w="3816" w:type="dxa"/>
            <w:tcBorders>
              <w:top w:val="nil"/>
              <w:left w:val="nil"/>
              <w:bottom w:val="nil"/>
              <w:right w:val="nil"/>
            </w:tcBorders>
          </w:tcPr>
          <w:p w14:paraId="668A3C4D" w14:textId="6E166540" w:rsidR="00D76B3D" w:rsidRPr="00350121" w:rsidRDefault="00D76B3D" w:rsidP="00D76B3D">
            <w:pPr>
              <w:widowControl w:val="0"/>
              <w:autoSpaceDE w:val="0"/>
              <w:autoSpaceDN w:val="0"/>
              <w:adjustRightInd w:val="0"/>
              <w:spacing w:after="0" w:line="240" w:lineRule="auto"/>
              <w:rPr>
                <w:rFonts w:ascii="Times" w:hAnsi="Times"/>
                <w:sz w:val="22"/>
                <w:szCs w:val="22"/>
              </w:rPr>
            </w:pPr>
          </w:p>
        </w:tc>
        <w:tc>
          <w:tcPr>
            <w:tcW w:w="1656" w:type="dxa"/>
            <w:tcBorders>
              <w:top w:val="nil"/>
              <w:left w:val="nil"/>
              <w:bottom w:val="nil"/>
              <w:right w:val="nil"/>
            </w:tcBorders>
          </w:tcPr>
          <w:p w14:paraId="60383FB2" w14:textId="61704D9B"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(0.0000)</w:t>
            </w:r>
          </w:p>
        </w:tc>
        <w:tc>
          <w:tcPr>
            <w:tcW w:w="1656" w:type="dxa"/>
            <w:tcBorders>
              <w:top w:val="nil"/>
              <w:left w:val="nil"/>
              <w:bottom w:val="nil"/>
              <w:right w:val="nil"/>
            </w:tcBorders>
          </w:tcPr>
          <w:p w14:paraId="68F074D1" w14:textId="693891F9"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(0.0003)</w:t>
            </w:r>
          </w:p>
        </w:tc>
      </w:tr>
      <w:tr w:rsidR="00D76B3D" w14:paraId="3C67E2B1" w14:textId="77777777" w:rsidTr="000D7586">
        <w:trPr>
          <w:jc w:val="center"/>
        </w:trPr>
        <w:tc>
          <w:tcPr>
            <w:tcW w:w="3816" w:type="dxa"/>
            <w:tcBorders>
              <w:top w:val="nil"/>
              <w:left w:val="nil"/>
              <w:bottom w:val="nil"/>
              <w:right w:val="nil"/>
            </w:tcBorders>
          </w:tcPr>
          <w:p w14:paraId="004315A7" w14:textId="58EC6E81" w:rsidR="00D76B3D" w:rsidRPr="00350121" w:rsidRDefault="00D76B3D" w:rsidP="00D76B3D">
            <w:pPr>
              <w:widowControl w:val="0"/>
              <w:autoSpaceDE w:val="0"/>
              <w:autoSpaceDN w:val="0"/>
              <w:adjustRightInd w:val="0"/>
              <w:spacing w:after="0" w:line="240" w:lineRule="auto"/>
              <w:rPr>
                <w:rFonts w:ascii="Times" w:hAnsi="Times"/>
                <w:sz w:val="22"/>
                <w:szCs w:val="22"/>
              </w:rPr>
            </w:pPr>
            <w:r w:rsidRPr="00350121">
              <w:rPr>
                <w:rFonts w:ascii="Times" w:hAnsi="Times"/>
                <w:sz w:val="22"/>
                <w:szCs w:val="22"/>
                <w:highlight w:val="lightGray"/>
              </w:rPr>
              <w:t>Geographic Area</w:t>
            </w:r>
          </w:p>
        </w:tc>
        <w:tc>
          <w:tcPr>
            <w:tcW w:w="1656" w:type="dxa"/>
            <w:tcBorders>
              <w:top w:val="nil"/>
              <w:left w:val="nil"/>
              <w:bottom w:val="nil"/>
              <w:right w:val="nil"/>
            </w:tcBorders>
          </w:tcPr>
          <w:p w14:paraId="28A261BD" w14:textId="3111069F"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-0.0161***</w:t>
            </w:r>
          </w:p>
        </w:tc>
        <w:tc>
          <w:tcPr>
            <w:tcW w:w="1656" w:type="dxa"/>
            <w:tcBorders>
              <w:top w:val="nil"/>
              <w:left w:val="nil"/>
              <w:bottom w:val="nil"/>
              <w:right w:val="nil"/>
            </w:tcBorders>
          </w:tcPr>
          <w:p w14:paraId="788C60BB" w14:textId="0026BFC9"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p>
        </w:tc>
      </w:tr>
      <w:tr w:rsidR="00D76B3D" w14:paraId="2F04E381" w14:textId="77777777" w:rsidTr="000D7586">
        <w:trPr>
          <w:jc w:val="center"/>
        </w:trPr>
        <w:tc>
          <w:tcPr>
            <w:tcW w:w="3816" w:type="dxa"/>
            <w:tcBorders>
              <w:top w:val="nil"/>
              <w:left w:val="nil"/>
              <w:bottom w:val="nil"/>
              <w:right w:val="nil"/>
            </w:tcBorders>
          </w:tcPr>
          <w:p w14:paraId="78706468" w14:textId="77777777" w:rsidR="00D76B3D" w:rsidRPr="00350121" w:rsidRDefault="00D76B3D" w:rsidP="00D76B3D">
            <w:pPr>
              <w:widowControl w:val="0"/>
              <w:autoSpaceDE w:val="0"/>
              <w:autoSpaceDN w:val="0"/>
              <w:adjustRightInd w:val="0"/>
              <w:spacing w:after="0" w:line="240" w:lineRule="auto"/>
              <w:rPr>
                <w:rFonts w:ascii="Times" w:hAnsi="Times"/>
                <w:sz w:val="22"/>
                <w:szCs w:val="22"/>
              </w:rPr>
            </w:pPr>
          </w:p>
        </w:tc>
        <w:tc>
          <w:tcPr>
            <w:tcW w:w="1656" w:type="dxa"/>
            <w:tcBorders>
              <w:top w:val="nil"/>
              <w:left w:val="nil"/>
              <w:bottom w:val="nil"/>
              <w:right w:val="nil"/>
            </w:tcBorders>
          </w:tcPr>
          <w:p w14:paraId="0AC8EE42" w14:textId="79FC1F9B"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(0.0009)</w:t>
            </w:r>
          </w:p>
        </w:tc>
        <w:tc>
          <w:tcPr>
            <w:tcW w:w="1656" w:type="dxa"/>
            <w:tcBorders>
              <w:top w:val="nil"/>
              <w:left w:val="nil"/>
              <w:bottom w:val="nil"/>
              <w:right w:val="nil"/>
            </w:tcBorders>
          </w:tcPr>
          <w:p w14:paraId="596912D9" w14:textId="577813E9"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p>
        </w:tc>
      </w:tr>
      <w:tr w:rsidR="00D76B3D" w:rsidRPr="00097724" w14:paraId="3F196AA9" w14:textId="77777777" w:rsidTr="000D7586">
        <w:trPr>
          <w:jc w:val="center"/>
        </w:trPr>
        <w:tc>
          <w:tcPr>
            <w:tcW w:w="3816" w:type="dxa"/>
            <w:tcBorders>
              <w:top w:val="nil"/>
              <w:left w:val="nil"/>
              <w:bottom w:val="nil"/>
              <w:right w:val="nil"/>
            </w:tcBorders>
          </w:tcPr>
          <w:p w14:paraId="69988914" w14:textId="125E2B8B" w:rsidR="00D76B3D" w:rsidRPr="00350121" w:rsidRDefault="00D76B3D" w:rsidP="00D76B3D">
            <w:pPr>
              <w:widowControl w:val="0"/>
              <w:autoSpaceDE w:val="0"/>
              <w:autoSpaceDN w:val="0"/>
              <w:adjustRightInd w:val="0"/>
              <w:spacing w:after="0" w:line="240" w:lineRule="auto"/>
              <w:rPr>
                <w:rFonts w:ascii="Times" w:hAnsi="Times"/>
                <w:sz w:val="22"/>
                <w:szCs w:val="22"/>
                <w:highlight w:val="lightGray"/>
              </w:rPr>
            </w:pPr>
            <w:r w:rsidRPr="00350121">
              <w:rPr>
                <w:rFonts w:ascii="Times" w:hAnsi="Times"/>
                <w:sz w:val="22"/>
                <w:szCs w:val="22"/>
                <w:highlight w:val="lightGray"/>
              </w:rPr>
              <w:t>Flatness</w:t>
            </w:r>
          </w:p>
        </w:tc>
        <w:tc>
          <w:tcPr>
            <w:tcW w:w="1656" w:type="dxa"/>
            <w:tcBorders>
              <w:top w:val="nil"/>
              <w:left w:val="nil"/>
              <w:bottom w:val="nil"/>
              <w:right w:val="nil"/>
            </w:tcBorders>
          </w:tcPr>
          <w:p w14:paraId="1BCFAD78" w14:textId="636F1451" w:rsidR="00D76B3D" w:rsidRPr="00350121" w:rsidRDefault="00D76B3D" w:rsidP="00D76B3D">
            <w:pPr>
              <w:widowControl w:val="0"/>
              <w:autoSpaceDE w:val="0"/>
              <w:autoSpaceDN w:val="0"/>
              <w:adjustRightInd w:val="0"/>
              <w:spacing w:after="0" w:line="240" w:lineRule="auto"/>
              <w:jc w:val="center"/>
              <w:rPr>
                <w:rFonts w:ascii="Times" w:hAnsi="Times"/>
                <w:sz w:val="22"/>
                <w:szCs w:val="22"/>
                <w:highlight w:val="lightGray"/>
              </w:rPr>
            </w:pPr>
            <w:r>
              <w:t>0.0005***</w:t>
            </w:r>
          </w:p>
        </w:tc>
        <w:tc>
          <w:tcPr>
            <w:tcW w:w="1656" w:type="dxa"/>
            <w:tcBorders>
              <w:top w:val="nil"/>
              <w:left w:val="nil"/>
              <w:bottom w:val="nil"/>
              <w:right w:val="nil"/>
            </w:tcBorders>
          </w:tcPr>
          <w:p w14:paraId="093E88F9" w14:textId="77777777" w:rsidR="00D76B3D" w:rsidRPr="00350121" w:rsidRDefault="00D76B3D" w:rsidP="00D76B3D">
            <w:pPr>
              <w:widowControl w:val="0"/>
              <w:autoSpaceDE w:val="0"/>
              <w:autoSpaceDN w:val="0"/>
              <w:adjustRightInd w:val="0"/>
              <w:spacing w:after="0" w:line="240" w:lineRule="auto"/>
              <w:jc w:val="center"/>
              <w:rPr>
                <w:rFonts w:ascii="Times" w:hAnsi="Times"/>
                <w:sz w:val="22"/>
                <w:szCs w:val="22"/>
                <w:highlight w:val="lightGray"/>
              </w:rPr>
            </w:pPr>
          </w:p>
        </w:tc>
      </w:tr>
      <w:tr w:rsidR="00D76B3D" w:rsidRPr="00097724" w14:paraId="4B34488C" w14:textId="77777777" w:rsidTr="000D7586">
        <w:trPr>
          <w:jc w:val="center"/>
        </w:trPr>
        <w:tc>
          <w:tcPr>
            <w:tcW w:w="3816" w:type="dxa"/>
            <w:tcBorders>
              <w:top w:val="nil"/>
              <w:left w:val="nil"/>
              <w:bottom w:val="nil"/>
              <w:right w:val="nil"/>
            </w:tcBorders>
          </w:tcPr>
          <w:p w14:paraId="4D1DA3B2" w14:textId="77777777" w:rsidR="00D76B3D" w:rsidRPr="00350121" w:rsidRDefault="00D76B3D" w:rsidP="00D76B3D">
            <w:pPr>
              <w:widowControl w:val="0"/>
              <w:autoSpaceDE w:val="0"/>
              <w:autoSpaceDN w:val="0"/>
              <w:adjustRightInd w:val="0"/>
              <w:spacing w:after="0" w:line="240" w:lineRule="auto"/>
              <w:rPr>
                <w:rFonts w:ascii="Times" w:hAnsi="Times"/>
                <w:sz w:val="22"/>
                <w:szCs w:val="22"/>
                <w:highlight w:val="lightGray"/>
              </w:rPr>
            </w:pPr>
          </w:p>
        </w:tc>
        <w:tc>
          <w:tcPr>
            <w:tcW w:w="1656" w:type="dxa"/>
            <w:tcBorders>
              <w:top w:val="nil"/>
              <w:left w:val="nil"/>
              <w:bottom w:val="nil"/>
              <w:right w:val="nil"/>
            </w:tcBorders>
          </w:tcPr>
          <w:p w14:paraId="051DB664" w14:textId="2BA1DD9F" w:rsidR="00D76B3D" w:rsidRPr="00350121" w:rsidRDefault="00D76B3D" w:rsidP="00D76B3D">
            <w:pPr>
              <w:widowControl w:val="0"/>
              <w:autoSpaceDE w:val="0"/>
              <w:autoSpaceDN w:val="0"/>
              <w:adjustRightInd w:val="0"/>
              <w:spacing w:after="0" w:line="240" w:lineRule="auto"/>
              <w:jc w:val="center"/>
              <w:rPr>
                <w:rFonts w:ascii="Times" w:hAnsi="Times"/>
                <w:sz w:val="22"/>
                <w:szCs w:val="22"/>
                <w:highlight w:val="lightGray"/>
              </w:rPr>
            </w:pPr>
            <w:r>
              <w:t>(0.0000)</w:t>
            </w:r>
          </w:p>
        </w:tc>
        <w:tc>
          <w:tcPr>
            <w:tcW w:w="1656" w:type="dxa"/>
            <w:tcBorders>
              <w:top w:val="nil"/>
              <w:left w:val="nil"/>
              <w:bottom w:val="nil"/>
              <w:right w:val="nil"/>
            </w:tcBorders>
          </w:tcPr>
          <w:p w14:paraId="5FEABBD2" w14:textId="77777777" w:rsidR="00D76B3D" w:rsidRPr="00350121" w:rsidRDefault="00D76B3D" w:rsidP="00D76B3D">
            <w:pPr>
              <w:widowControl w:val="0"/>
              <w:autoSpaceDE w:val="0"/>
              <w:autoSpaceDN w:val="0"/>
              <w:adjustRightInd w:val="0"/>
              <w:spacing w:after="0" w:line="240" w:lineRule="auto"/>
              <w:jc w:val="center"/>
              <w:rPr>
                <w:rFonts w:ascii="Times" w:hAnsi="Times"/>
                <w:sz w:val="22"/>
                <w:szCs w:val="22"/>
                <w:highlight w:val="lightGray"/>
              </w:rPr>
            </w:pPr>
          </w:p>
        </w:tc>
      </w:tr>
      <w:tr w:rsidR="00D76B3D" w:rsidRPr="00097724" w14:paraId="69050B2B" w14:textId="77777777" w:rsidTr="000D7586">
        <w:trPr>
          <w:jc w:val="center"/>
        </w:trPr>
        <w:tc>
          <w:tcPr>
            <w:tcW w:w="3816" w:type="dxa"/>
            <w:tcBorders>
              <w:top w:val="nil"/>
              <w:left w:val="nil"/>
              <w:bottom w:val="nil"/>
              <w:right w:val="nil"/>
            </w:tcBorders>
          </w:tcPr>
          <w:p w14:paraId="2FCFF3DC" w14:textId="04D4F0D3" w:rsidR="00D76B3D" w:rsidRPr="00350121" w:rsidRDefault="00D76B3D" w:rsidP="00D76B3D">
            <w:pPr>
              <w:widowControl w:val="0"/>
              <w:autoSpaceDE w:val="0"/>
              <w:autoSpaceDN w:val="0"/>
              <w:adjustRightInd w:val="0"/>
              <w:spacing w:after="0" w:line="240" w:lineRule="auto"/>
              <w:rPr>
                <w:rFonts w:ascii="Times" w:hAnsi="Times"/>
                <w:sz w:val="22"/>
                <w:szCs w:val="22"/>
                <w:highlight w:val="lightGray"/>
              </w:rPr>
            </w:pPr>
            <w:r w:rsidRPr="00350121">
              <w:rPr>
                <w:rFonts w:ascii="Times" w:hAnsi="Times"/>
                <w:sz w:val="22"/>
                <w:szCs w:val="22"/>
                <w:highlight w:val="lightGray"/>
              </w:rPr>
              <w:t>Average Elevation</w:t>
            </w:r>
          </w:p>
        </w:tc>
        <w:tc>
          <w:tcPr>
            <w:tcW w:w="1656" w:type="dxa"/>
            <w:tcBorders>
              <w:top w:val="nil"/>
              <w:left w:val="nil"/>
              <w:bottom w:val="nil"/>
              <w:right w:val="nil"/>
            </w:tcBorders>
          </w:tcPr>
          <w:p w14:paraId="57CAFFF5" w14:textId="0E1C66DB" w:rsidR="00D76B3D" w:rsidRPr="00350121" w:rsidRDefault="00D76B3D" w:rsidP="00D76B3D">
            <w:pPr>
              <w:widowControl w:val="0"/>
              <w:autoSpaceDE w:val="0"/>
              <w:autoSpaceDN w:val="0"/>
              <w:adjustRightInd w:val="0"/>
              <w:spacing w:after="0" w:line="240" w:lineRule="auto"/>
              <w:jc w:val="center"/>
              <w:rPr>
                <w:rFonts w:ascii="Times" w:hAnsi="Times"/>
                <w:sz w:val="22"/>
                <w:szCs w:val="22"/>
                <w:highlight w:val="lightGray"/>
              </w:rPr>
            </w:pPr>
            <w:r>
              <w:t>0.0000***</w:t>
            </w:r>
          </w:p>
        </w:tc>
        <w:tc>
          <w:tcPr>
            <w:tcW w:w="1656" w:type="dxa"/>
            <w:tcBorders>
              <w:top w:val="nil"/>
              <w:left w:val="nil"/>
              <w:bottom w:val="nil"/>
              <w:right w:val="nil"/>
            </w:tcBorders>
          </w:tcPr>
          <w:p w14:paraId="21CA4D52" w14:textId="77777777" w:rsidR="00D76B3D" w:rsidRPr="00350121" w:rsidRDefault="00D76B3D" w:rsidP="00D76B3D">
            <w:pPr>
              <w:widowControl w:val="0"/>
              <w:autoSpaceDE w:val="0"/>
              <w:autoSpaceDN w:val="0"/>
              <w:adjustRightInd w:val="0"/>
              <w:spacing w:after="0" w:line="240" w:lineRule="auto"/>
              <w:jc w:val="center"/>
              <w:rPr>
                <w:rFonts w:ascii="Times" w:hAnsi="Times"/>
                <w:sz w:val="22"/>
                <w:szCs w:val="22"/>
                <w:highlight w:val="lightGray"/>
              </w:rPr>
            </w:pPr>
          </w:p>
        </w:tc>
      </w:tr>
      <w:tr w:rsidR="00D76B3D" w:rsidRPr="00097724" w14:paraId="60417BAA" w14:textId="77777777" w:rsidTr="000D7586">
        <w:trPr>
          <w:jc w:val="center"/>
        </w:trPr>
        <w:tc>
          <w:tcPr>
            <w:tcW w:w="3816" w:type="dxa"/>
            <w:tcBorders>
              <w:top w:val="nil"/>
              <w:left w:val="nil"/>
              <w:bottom w:val="nil"/>
              <w:right w:val="nil"/>
            </w:tcBorders>
          </w:tcPr>
          <w:p w14:paraId="018A5C4C" w14:textId="77777777" w:rsidR="00D76B3D" w:rsidRPr="00350121" w:rsidRDefault="00D76B3D" w:rsidP="00D76B3D">
            <w:pPr>
              <w:widowControl w:val="0"/>
              <w:autoSpaceDE w:val="0"/>
              <w:autoSpaceDN w:val="0"/>
              <w:adjustRightInd w:val="0"/>
              <w:spacing w:after="0" w:line="240" w:lineRule="auto"/>
              <w:rPr>
                <w:rFonts w:ascii="Times" w:hAnsi="Times"/>
                <w:sz w:val="22"/>
                <w:szCs w:val="22"/>
                <w:highlight w:val="lightGray"/>
              </w:rPr>
            </w:pPr>
          </w:p>
        </w:tc>
        <w:tc>
          <w:tcPr>
            <w:tcW w:w="1656" w:type="dxa"/>
            <w:tcBorders>
              <w:top w:val="nil"/>
              <w:left w:val="nil"/>
              <w:bottom w:val="nil"/>
              <w:right w:val="nil"/>
            </w:tcBorders>
          </w:tcPr>
          <w:p w14:paraId="340383C3" w14:textId="60126768" w:rsidR="00D76B3D" w:rsidRPr="00350121" w:rsidRDefault="00D76B3D" w:rsidP="00D76B3D">
            <w:pPr>
              <w:widowControl w:val="0"/>
              <w:autoSpaceDE w:val="0"/>
              <w:autoSpaceDN w:val="0"/>
              <w:adjustRightInd w:val="0"/>
              <w:spacing w:after="0" w:line="240" w:lineRule="auto"/>
              <w:jc w:val="center"/>
              <w:rPr>
                <w:rFonts w:ascii="Times" w:hAnsi="Times"/>
                <w:sz w:val="22"/>
                <w:szCs w:val="22"/>
                <w:highlight w:val="lightGray"/>
              </w:rPr>
            </w:pPr>
            <w:r>
              <w:t>(0.0000)</w:t>
            </w:r>
          </w:p>
        </w:tc>
        <w:tc>
          <w:tcPr>
            <w:tcW w:w="1656" w:type="dxa"/>
            <w:tcBorders>
              <w:top w:val="nil"/>
              <w:left w:val="nil"/>
              <w:bottom w:val="nil"/>
              <w:right w:val="nil"/>
            </w:tcBorders>
          </w:tcPr>
          <w:p w14:paraId="05E29381" w14:textId="77777777" w:rsidR="00D76B3D" w:rsidRPr="00350121" w:rsidRDefault="00D76B3D" w:rsidP="00D76B3D">
            <w:pPr>
              <w:widowControl w:val="0"/>
              <w:autoSpaceDE w:val="0"/>
              <w:autoSpaceDN w:val="0"/>
              <w:adjustRightInd w:val="0"/>
              <w:spacing w:after="0" w:line="240" w:lineRule="auto"/>
              <w:jc w:val="center"/>
              <w:rPr>
                <w:rFonts w:ascii="Times" w:hAnsi="Times"/>
                <w:sz w:val="22"/>
                <w:szCs w:val="22"/>
                <w:highlight w:val="lightGray"/>
              </w:rPr>
            </w:pPr>
          </w:p>
        </w:tc>
      </w:tr>
      <w:tr w:rsidR="00D76B3D" w:rsidRPr="00097724" w14:paraId="4169CEDF" w14:textId="77777777" w:rsidTr="000D7586">
        <w:trPr>
          <w:jc w:val="center"/>
        </w:trPr>
        <w:tc>
          <w:tcPr>
            <w:tcW w:w="3816" w:type="dxa"/>
            <w:tcBorders>
              <w:top w:val="nil"/>
              <w:left w:val="nil"/>
              <w:bottom w:val="nil"/>
              <w:right w:val="nil"/>
            </w:tcBorders>
          </w:tcPr>
          <w:p w14:paraId="4B320901" w14:textId="2B17D444" w:rsidR="00D76B3D" w:rsidRPr="00350121" w:rsidRDefault="00D76B3D" w:rsidP="00D76B3D">
            <w:pPr>
              <w:widowControl w:val="0"/>
              <w:autoSpaceDE w:val="0"/>
              <w:autoSpaceDN w:val="0"/>
              <w:adjustRightInd w:val="0"/>
              <w:spacing w:after="0" w:line="240" w:lineRule="auto"/>
              <w:rPr>
                <w:rFonts w:ascii="Times" w:hAnsi="Times"/>
                <w:sz w:val="22"/>
                <w:szCs w:val="22"/>
                <w:highlight w:val="lightGray"/>
              </w:rPr>
            </w:pPr>
            <w:r w:rsidRPr="00350121">
              <w:rPr>
                <w:rFonts w:ascii="Times" w:hAnsi="Times"/>
                <w:sz w:val="22"/>
                <w:szCs w:val="22"/>
              </w:rPr>
              <w:t>Constant</w:t>
            </w:r>
          </w:p>
        </w:tc>
        <w:tc>
          <w:tcPr>
            <w:tcW w:w="1656" w:type="dxa"/>
            <w:tcBorders>
              <w:top w:val="nil"/>
              <w:left w:val="nil"/>
              <w:bottom w:val="nil"/>
              <w:right w:val="nil"/>
            </w:tcBorders>
          </w:tcPr>
          <w:p w14:paraId="59903E3C" w14:textId="4D43B295" w:rsidR="00D76B3D" w:rsidRPr="00350121" w:rsidRDefault="00D76B3D" w:rsidP="00D76B3D">
            <w:pPr>
              <w:widowControl w:val="0"/>
              <w:autoSpaceDE w:val="0"/>
              <w:autoSpaceDN w:val="0"/>
              <w:adjustRightInd w:val="0"/>
              <w:spacing w:after="0" w:line="240" w:lineRule="auto"/>
              <w:jc w:val="center"/>
              <w:rPr>
                <w:rFonts w:ascii="Times" w:hAnsi="Times"/>
                <w:sz w:val="22"/>
                <w:szCs w:val="22"/>
                <w:highlight w:val="lightGray"/>
              </w:rPr>
            </w:pPr>
            <w:r>
              <w:t>-0.2116***</w:t>
            </w:r>
          </w:p>
        </w:tc>
        <w:tc>
          <w:tcPr>
            <w:tcW w:w="1656" w:type="dxa"/>
            <w:tcBorders>
              <w:top w:val="nil"/>
              <w:left w:val="nil"/>
              <w:bottom w:val="nil"/>
              <w:right w:val="nil"/>
            </w:tcBorders>
          </w:tcPr>
          <w:p w14:paraId="0DB05998" w14:textId="3F13B4C1" w:rsidR="00D76B3D" w:rsidRPr="00350121" w:rsidRDefault="00D76B3D" w:rsidP="00D76B3D">
            <w:pPr>
              <w:widowControl w:val="0"/>
              <w:autoSpaceDE w:val="0"/>
              <w:autoSpaceDN w:val="0"/>
              <w:adjustRightInd w:val="0"/>
              <w:spacing w:after="0" w:line="240" w:lineRule="auto"/>
              <w:jc w:val="center"/>
              <w:rPr>
                <w:rFonts w:ascii="Times" w:hAnsi="Times"/>
                <w:sz w:val="22"/>
                <w:szCs w:val="22"/>
                <w:highlight w:val="lightGray"/>
              </w:rPr>
            </w:pPr>
            <w:r>
              <w:t>-1.8436**</w:t>
            </w:r>
          </w:p>
        </w:tc>
      </w:tr>
      <w:tr w:rsidR="00D76B3D" w14:paraId="509E3BF6" w14:textId="77777777" w:rsidTr="003B652D">
        <w:trPr>
          <w:jc w:val="center"/>
        </w:trPr>
        <w:tc>
          <w:tcPr>
            <w:tcW w:w="3816" w:type="dxa"/>
            <w:tcBorders>
              <w:top w:val="nil"/>
              <w:left w:val="nil"/>
              <w:bottom w:val="single" w:sz="4" w:space="0" w:color="auto"/>
              <w:right w:val="nil"/>
            </w:tcBorders>
          </w:tcPr>
          <w:p w14:paraId="133212C3" w14:textId="77777777" w:rsidR="00D76B3D" w:rsidRPr="00350121" w:rsidRDefault="00D76B3D" w:rsidP="00D76B3D">
            <w:pPr>
              <w:widowControl w:val="0"/>
              <w:autoSpaceDE w:val="0"/>
              <w:autoSpaceDN w:val="0"/>
              <w:adjustRightInd w:val="0"/>
              <w:spacing w:after="0" w:line="240" w:lineRule="auto"/>
              <w:rPr>
                <w:rFonts w:ascii="Times" w:hAnsi="Times"/>
                <w:sz w:val="22"/>
                <w:szCs w:val="22"/>
                <w:highlight w:val="lightGray"/>
              </w:rPr>
            </w:pPr>
          </w:p>
        </w:tc>
        <w:tc>
          <w:tcPr>
            <w:tcW w:w="1656" w:type="dxa"/>
            <w:tcBorders>
              <w:top w:val="nil"/>
              <w:left w:val="nil"/>
              <w:bottom w:val="single" w:sz="4" w:space="0" w:color="auto"/>
              <w:right w:val="nil"/>
            </w:tcBorders>
          </w:tcPr>
          <w:p w14:paraId="03067CD7" w14:textId="24E9F7BB"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(0.0100)</w:t>
            </w:r>
          </w:p>
        </w:tc>
        <w:tc>
          <w:tcPr>
            <w:tcW w:w="1656" w:type="dxa"/>
            <w:tcBorders>
              <w:top w:val="nil"/>
              <w:left w:val="nil"/>
              <w:bottom w:val="single" w:sz="4" w:space="0" w:color="auto"/>
              <w:right w:val="nil"/>
            </w:tcBorders>
          </w:tcPr>
          <w:p w14:paraId="2AEFE7D9" w14:textId="0B9EFFD1" w:rsidR="00D76B3D" w:rsidRPr="00350121" w:rsidRDefault="00D76B3D" w:rsidP="00D76B3D">
            <w:pPr>
              <w:widowControl w:val="0"/>
              <w:autoSpaceDE w:val="0"/>
              <w:autoSpaceDN w:val="0"/>
              <w:adjustRightInd w:val="0"/>
              <w:spacing w:after="0" w:line="240" w:lineRule="auto"/>
              <w:jc w:val="center"/>
              <w:rPr>
                <w:rFonts w:ascii="Times" w:hAnsi="Times"/>
                <w:sz w:val="22"/>
                <w:szCs w:val="22"/>
              </w:rPr>
            </w:pPr>
            <w:r>
              <w:t>(0.6050)</w:t>
            </w:r>
          </w:p>
        </w:tc>
      </w:tr>
      <w:tr w:rsidR="00657AA1" w14:paraId="043CE1D9" w14:textId="77777777" w:rsidTr="000D7586">
        <w:trPr>
          <w:jc w:val="center"/>
        </w:trPr>
        <w:tc>
          <w:tcPr>
            <w:tcW w:w="3816" w:type="dxa"/>
            <w:tcBorders>
              <w:top w:val="nil"/>
              <w:left w:val="nil"/>
              <w:bottom w:val="nil"/>
              <w:right w:val="nil"/>
            </w:tcBorders>
          </w:tcPr>
          <w:p w14:paraId="616F2BD3" w14:textId="0DC3D3CC" w:rsidR="00657AA1" w:rsidRPr="00350121" w:rsidRDefault="00657AA1" w:rsidP="00657AA1">
            <w:pPr>
              <w:widowControl w:val="0"/>
              <w:autoSpaceDE w:val="0"/>
              <w:autoSpaceDN w:val="0"/>
              <w:adjustRightInd w:val="0"/>
              <w:spacing w:after="0" w:line="240" w:lineRule="auto"/>
              <w:rPr>
                <w:rFonts w:ascii="Times" w:hAnsi="Times"/>
                <w:sz w:val="22"/>
                <w:szCs w:val="22"/>
              </w:rPr>
            </w:pPr>
            <w:r w:rsidRPr="00350121">
              <w:rPr>
                <w:rFonts w:ascii="Times" w:hAnsi="Times"/>
                <w:sz w:val="22"/>
                <w:szCs w:val="22"/>
              </w:rPr>
              <w:t>Observations</w:t>
            </w:r>
          </w:p>
        </w:tc>
        <w:tc>
          <w:tcPr>
            <w:tcW w:w="1656" w:type="dxa"/>
            <w:tcBorders>
              <w:top w:val="nil"/>
              <w:left w:val="nil"/>
              <w:bottom w:val="nil"/>
              <w:right w:val="nil"/>
            </w:tcBorders>
          </w:tcPr>
          <w:p w14:paraId="00F1273B" w14:textId="2CA0F3DB" w:rsidR="00657AA1" w:rsidRPr="00350121" w:rsidRDefault="00657AA1" w:rsidP="00657AA1">
            <w:pPr>
              <w:widowControl w:val="0"/>
              <w:autoSpaceDE w:val="0"/>
              <w:autoSpaceDN w:val="0"/>
              <w:adjustRightInd w:val="0"/>
              <w:spacing w:after="0" w:line="240" w:lineRule="auto"/>
              <w:jc w:val="center"/>
              <w:rPr>
                <w:rFonts w:ascii="Times" w:hAnsi="Times"/>
                <w:sz w:val="22"/>
                <w:szCs w:val="22"/>
              </w:rPr>
            </w:pPr>
          </w:p>
        </w:tc>
        <w:tc>
          <w:tcPr>
            <w:tcW w:w="1656" w:type="dxa"/>
            <w:tcBorders>
              <w:top w:val="nil"/>
              <w:left w:val="nil"/>
              <w:bottom w:val="nil"/>
              <w:right w:val="nil"/>
            </w:tcBorders>
          </w:tcPr>
          <w:p w14:paraId="3E7AB34A" w14:textId="6C373126" w:rsidR="00657AA1" w:rsidRPr="00350121" w:rsidRDefault="00657AA1" w:rsidP="00657AA1">
            <w:pPr>
              <w:widowControl w:val="0"/>
              <w:autoSpaceDE w:val="0"/>
              <w:autoSpaceDN w:val="0"/>
              <w:adjustRightInd w:val="0"/>
              <w:spacing w:after="0" w:line="240" w:lineRule="auto"/>
              <w:jc w:val="center"/>
              <w:rPr>
                <w:rFonts w:ascii="Times" w:hAnsi="Times"/>
                <w:sz w:val="22"/>
                <w:szCs w:val="22"/>
              </w:rPr>
            </w:pPr>
            <w:r w:rsidRPr="00350121">
              <w:rPr>
                <w:rFonts w:ascii="Times" w:hAnsi="Times"/>
                <w:sz w:val="22"/>
                <w:szCs w:val="22"/>
              </w:rPr>
              <w:t>27</w:t>
            </w:r>
            <w:r>
              <w:rPr>
                <w:rFonts w:ascii="Times" w:hAnsi="Times"/>
                <w:sz w:val="22"/>
                <w:szCs w:val="22"/>
              </w:rPr>
              <w:t>,</w:t>
            </w:r>
            <w:r w:rsidRPr="00350121">
              <w:rPr>
                <w:rFonts w:ascii="Times" w:hAnsi="Times"/>
                <w:sz w:val="22"/>
                <w:szCs w:val="22"/>
              </w:rPr>
              <w:t>689</w:t>
            </w:r>
          </w:p>
        </w:tc>
      </w:tr>
      <w:tr w:rsidR="00657AA1" w14:paraId="328C4303" w14:textId="77777777" w:rsidTr="000D7586">
        <w:trPr>
          <w:jc w:val="center"/>
        </w:trPr>
        <w:tc>
          <w:tcPr>
            <w:tcW w:w="3816" w:type="dxa"/>
            <w:tcBorders>
              <w:top w:val="nil"/>
              <w:left w:val="nil"/>
              <w:bottom w:val="single" w:sz="4" w:space="0" w:color="auto"/>
              <w:right w:val="nil"/>
            </w:tcBorders>
          </w:tcPr>
          <w:p w14:paraId="2EB0F71C" w14:textId="35B36E33" w:rsidR="00657AA1" w:rsidRPr="00350121" w:rsidRDefault="00657AA1" w:rsidP="00657AA1">
            <w:pPr>
              <w:widowControl w:val="0"/>
              <w:autoSpaceDE w:val="0"/>
              <w:autoSpaceDN w:val="0"/>
              <w:adjustRightInd w:val="0"/>
              <w:spacing w:after="0" w:line="240" w:lineRule="auto"/>
              <w:rPr>
                <w:rFonts w:ascii="Times" w:hAnsi="Times"/>
                <w:sz w:val="22"/>
                <w:szCs w:val="22"/>
              </w:rPr>
            </w:pPr>
            <w:r w:rsidRPr="00350121">
              <w:rPr>
                <w:rFonts w:ascii="Times" w:hAnsi="Times"/>
                <w:color w:val="000000"/>
                <w:sz w:val="22"/>
                <w:szCs w:val="22"/>
                <w:shd w:val="clear" w:color="auto" w:fill="FFFCF0"/>
              </w:rPr>
              <w:t>Wald test of exogeneity: χ</w:t>
            </w:r>
            <w:r w:rsidRPr="00350121">
              <w:rPr>
                <w:rFonts w:ascii="Times" w:hAnsi="Times"/>
                <w:color w:val="000000"/>
                <w:sz w:val="22"/>
                <w:szCs w:val="22"/>
                <w:shd w:val="clear" w:color="auto" w:fill="FFFCF0"/>
                <w:vertAlign w:val="superscript"/>
              </w:rPr>
              <w:t>2</w:t>
            </w:r>
          </w:p>
        </w:tc>
        <w:tc>
          <w:tcPr>
            <w:tcW w:w="1656" w:type="dxa"/>
            <w:tcBorders>
              <w:top w:val="nil"/>
              <w:left w:val="nil"/>
              <w:bottom w:val="single" w:sz="4" w:space="0" w:color="auto"/>
              <w:right w:val="nil"/>
            </w:tcBorders>
          </w:tcPr>
          <w:p w14:paraId="5604A644" w14:textId="5BB950B9" w:rsidR="00657AA1" w:rsidRPr="00350121" w:rsidRDefault="00D76B3D" w:rsidP="00657AA1">
            <w:pPr>
              <w:widowControl w:val="0"/>
              <w:autoSpaceDE w:val="0"/>
              <w:autoSpaceDN w:val="0"/>
              <w:adjustRightInd w:val="0"/>
              <w:spacing w:after="0" w:line="240" w:lineRule="auto"/>
              <w:jc w:val="center"/>
              <w:rPr>
                <w:rFonts w:ascii="Times" w:hAnsi="Times"/>
                <w:sz w:val="22"/>
                <w:szCs w:val="22"/>
              </w:rPr>
            </w:pPr>
            <w:r w:rsidRPr="00D76B3D">
              <w:rPr>
                <w:rFonts w:ascii="Times" w:hAnsi="Times"/>
                <w:sz w:val="22"/>
                <w:szCs w:val="22"/>
              </w:rPr>
              <w:t xml:space="preserve">11.63 </w:t>
            </w:r>
            <w:r w:rsidR="00657AA1" w:rsidRPr="00350121">
              <w:rPr>
                <w:rFonts w:ascii="Times" w:hAnsi="Times"/>
                <w:sz w:val="22"/>
                <w:szCs w:val="22"/>
              </w:rPr>
              <w:t>(p&lt;.001)</w:t>
            </w:r>
          </w:p>
        </w:tc>
        <w:tc>
          <w:tcPr>
            <w:tcW w:w="1656" w:type="dxa"/>
            <w:tcBorders>
              <w:top w:val="nil"/>
              <w:left w:val="nil"/>
              <w:bottom w:val="single" w:sz="4" w:space="0" w:color="auto"/>
              <w:right w:val="nil"/>
            </w:tcBorders>
          </w:tcPr>
          <w:p w14:paraId="0B6B6848" w14:textId="5C8ED1E0" w:rsidR="00657AA1" w:rsidRPr="00350121" w:rsidRDefault="00657AA1" w:rsidP="00657AA1">
            <w:pPr>
              <w:widowControl w:val="0"/>
              <w:autoSpaceDE w:val="0"/>
              <w:autoSpaceDN w:val="0"/>
              <w:adjustRightInd w:val="0"/>
              <w:spacing w:after="0" w:line="240" w:lineRule="auto"/>
              <w:jc w:val="center"/>
              <w:rPr>
                <w:rFonts w:ascii="Times" w:hAnsi="Times"/>
                <w:sz w:val="22"/>
                <w:szCs w:val="22"/>
              </w:rPr>
            </w:pPr>
          </w:p>
        </w:tc>
      </w:tr>
      <w:tr w:rsidR="00657AA1" w14:paraId="221FE40B" w14:textId="77777777" w:rsidTr="000D7586">
        <w:trPr>
          <w:jc w:val="center"/>
        </w:trPr>
        <w:tc>
          <w:tcPr>
            <w:tcW w:w="3816" w:type="dxa"/>
            <w:tcBorders>
              <w:top w:val="nil"/>
              <w:left w:val="nil"/>
              <w:bottom w:val="nil"/>
              <w:right w:val="nil"/>
            </w:tcBorders>
          </w:tcPr>
          <w:p w14:paraId="49F38E0D" w14:textId="39C33A92" w:rsidR="00657AA1" w:rsidRPr="00350121" w:rsidRDefault="00657AA1" w:rsidP="000D7586">
            <w:pPr>
              <w:widowControl w:val="0"/>
              <w:autoSpaceDE w:val="0"/>
              <w:autoSpaceDN w:val="0"/>
              <w:adjustRightInd w:val="0"/>
              <w:spacing w:after="0" w:line="240" w:lineRule="auto"/>
              <w:rPr>
                <w:rFonts w:ascii="Times" w:hAnsi="Times"/>
                <w:sz w:val="22"/>
                <w:szCs w:val="22"/>
              </w:rPr>
            </w:pPr>
          </w:p>
        </w:tc>
        <w:tc>
          <w:tcPr>
            <w:tcW w:w="1656" w:type="dxa"/>
            <w:tcBorders>
              <w:top w:val="nil"/>
              <w:left w:val="nil"/>
              <w:bottom w:val="nil"/>
              <w:right w:val="nil"/>
            </w:tcBorders>
          </w:tcPr>
          <w:p w14:paraId="1F9D58E6" w14:textId="77777777" w:rsidR="00657AA1" w:rsidRPr="00350121" w:rsidRDefault="00657AA1" w:rsidP="000D7586">
            <w:pPr>
              <w:widowControl w:val="0"/>
              <w:autoSpaceDE w:val="0"/>
              <w:autoSpaceDN w:val="0"/>
              <w:adjustRightInd w:val="0"/>
              <w:spacing w:after="0" w:line="240" w:lineRule="auto"/>
              <w:jc w:val="center"/>
              <w:rPr>
                <w:rFonts w:ascii="Times" w:hAnsi="Times"/>
                <w:sz w:val="22"/>
                <w:szCs w:val="22"/>
              </w:rPr>
            </w:pPr>
          </w:p>
        </w:tc>
        <w:tc>
          <w:tcPr>
            <w:tcW w:w="1656" w:type="dxa"/>
            <w:tcBorders>
              <w:top w:val="nil"/>
              <w:left w:val="nil"/>
              <w:bottom w:val="nil"/>
              <w:right w:val="nil"/>
            </w:tcBorders>
          </w:tcPr>
          <w:p w14:paraId="726830AA" w14:textId="14E53F89" w:rsidR="00657AA1" w:rsidRPr="00350121" w:rsidRDefault="00657AA1" w:rsidP="000D7586">
            <w:pPr>
              <w:widowControl w:val="0"/>
              <w:autoSpaceDE w:val="0"/>
              <w:autoSpaceDN w:val="0"/>
              <w:adjustRightInd w:val="0"/>
              <w:spacing w:after="0" w:line="240" w:lineRule="auto"/>
              <w:jc w:val="center"/>
              <w:rPr>
                <w:rFonts w:ascii="Times" w:hAnsi="Times"/>
                <w:sz w:val="22"/>
                <w:szCs w:val="22"/>
              </w:rPr>
            </w:pPr>
          </w:p>
        </w:tc>
      </w:tr>
      <w:tr w:rsidR="00657AA1" w14:paraId="11A1D463" w14:textId="77777777" w:rsidTr="000D7586">
        <w:trPr>
          <w:jc w:val="center"/>
        </w:trPr>
        <w:tc>
          <w:tcPr>
            <w:tcW w:w="3816" w:type="dxa"/>
            <w:tcBorders>
              <w:top w:val="nil"/>
              <w:left w:val="nil"/>
              <w:bottom w:val="single" w:sz="4" w:space="0" w:color="auto"/>
              <w:right w:val="nil"/>
            </w:tcBorders>
          </w:tcPr>
          <w:p w14:paraId="3C7C3E42" w14:textId="5D552A02" w:rsidR="00657AA1" w:rsidRPr="00350121" w:rsidRDefault="00657AA1" w:rsidP="000D7586">
            <w:pPr>
              <w:widowControl w:val="0"/>
              <w:autoSpaceDE w:val="0"/>
              <w:autoSpaceDN w:val="0"/>
              <w:adjustRightInd w:val="0"/>
              <w:spacing w:after="0" w:line="240" w:lineRule="auto"/>
              <w:rPr>
                <w:rFonts w:ascii="Times" w:hAnsi="Times"/>
                <w:sz w:val="22"/>
                <w:szCs w:val="22"/>
              </w:rPr>
            </w:pPr>
          </w:p>
        </w:tc>
        <w:tc>
          <w:tcPr>
            <w:tcW w:w="1656" w:type="dxa"/>
            <w:tcBorders>
              <w:top w:val="nil"/>
              <w:left w:val="nil"/>
              <w:bottom w:val="single" w:sz="4" w:space="0" w:color="auto"/>
              <w:right w:val="nil"/>
            </w:tcBorders>
          </w:tcPr>
          <w:p w14:paraId="056D2FAA" w14:textId="11AAB7AD" w:rsidR="00657AA1" w:rsidRPr="00350121" w:rsidRDefault="00657AA1" w:rsidP="000D7586">
            <w:pPr>
              <w:widowControl w:val="0"/>
              <w:autoSpaceDE w:val="0"/>
              <w:autoSpaceDN w:val="0"/>
              <w:adjustRightInd w:val="0"/>
              <w:spacing w:after="0" w:line="240" w:lineRule="auto"/>
              <w:jc w:val="center"/>
              <w:rPr>
                <w:rFonts w:ascii="Times" w:hAnsi="Times"/>
                <w:sz w:val="22"/>
                <w:szCs w:val="22"/>
              </w:rPr>
            </w:pPr>
          </w:p>
        </w:tc>
        <w:tc>
          <w:tcPr>
            <w:tcW w:w="1656" w:type="dxa"/>
            <w:tcBorders>
              <w:top w:val="nil"/>
              <w:left w:val="nil"/>
              <w:bottom w:val="single" w:sz="4" w:space="0" w:color="auto"/>
              <w:right w:val="nil"/>
            </w:tcBorders>
          </w:tcPr>
          <w:p w14:paraId="48CA3D63" w14:textId="77777777" w:rsidR="00657AA1" w:rsidRPr="00350121" w:rsidRDefault="00657AA1" w:rsidP="000D7586">
            <w:pPr>
              <w:widowControl w:val="0"/>
              <w:autoSpaceDE w:val="0"/>
              <w:autoSpaceDN w:val="0"/>
              <w:adjustRightInd w:val="0"/>
              <w:spacing w:after="0" w:line="240" w:lineRule="auto"/>
              <w:jc w:val="center"/>
              <w:rPr>
                <w:rFonts w:ascii="Times" w:hAnsi="Times"/>
                <w:sz w:val="22"/>
                <w:szCs w:val="22"/>
              </w:rPr>
            </w:pPr>
          </w:p>
        </w:tc>
      </w:tr>
    </w:tbl>
    <w:bookmarkEnd w:id="1"/>
    <w:p w14:paraId="086F7512" w14:textId="12BFA8A6" w:rsidR="00FA338C" w:rsidRDefault="0038258E">
      <w:r w:rsidRPr="008F219C">
        <w:rPr>
          <w:rFonts w:ascii="Times" w:hAnsi="Times"/>
          <w:b/>
          <w:sz w:val="20"/>
          <w:szCs w:val="20"/>
        </w:rPr>
        <w:t>*</w:t>
      </w:r>
      <w:r w:rsidRPr="008F219C">
        <w:rPr>
          <w:rFonts w:ascii="Times" w:hAnsi="Times"/>
          <w:sz w:val="20"/>
          <w:szCs w:val="20"/>
        </w:rPr>
        <w:t>indicates p&lt;.05</w:t>
      </w:r>
      <w:r>
        <w:rPr>
          <w:rFonts w:ascii="Times" w:hAnsi="Times"/>
          <w:sz w:val="20"/>
          <w:szCs w:val="20"/>
        </w:rPr>
        <w:t>, **p&lt;.01 and ***p&lt;.001</w:t>
      </w:r>
      <w:r w:rsidRPr="008F219C">
        <w:rPr>
          <w:rFonts w:ascii="Times" w:hAnsi="Times"/>
          <w:sz w:val="20"/>
          <w:szCs w:val="20"/>
        </w:rPr>
        <w:t>. Modeling includes fixed effect for year and random effects for policy</w:t>
      </w:r>
      <w:r w:rsidR="00907B6E">
        <w:rPr>
          <w:rFonts w:ascii="Times" w:hAnsi="Times"/>
          <w:sz w:val="20"/>
          <w:szCs w:val="20"/>
        </w:rPr>
        <w:t>.</w:t>
      </w:r>
    </w:p>
    <w:sectPr w:rsidR="00FA338C">
      <w:footerReference w:type="even" r:id="rId13"/>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58C66" w16cex:dateUtc="2020-10-17T22:29:00Z"/>
  <w16cex:commentExtensible w16cex:durableId="23358D07" w16cex:dateUtc="2020-10-17T22:3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1071E" w14:textId="77777777" w:rsidR="001518D5" w:rsidRDefault="001518D5" w:rsidP="0038258E">
      <w:pPr>
        <w:spacing w:after="0" w:line="240" w:lineRule="auto"/>
      </w:pPr>
      <w:r>
        <w:separator/>
      </w:r>
    </w:p>
  </w:endnote>
  <w:endnote w:type="continuationSeparator" w:id="0">
    <w:p w14:paraId="45FED256" w14:textId="77777777" w:rsidR="001518D5" w:rsidRDefault="001518D5" w:rsidP="0038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8005560"/>
      <w:docPartObj>
        <w:docPartGallery w:val="Page Numbers (Bottom of Page)"/>
        <w:docPartUnique/>
      </w:docPartObj>
    </w:sdtPr>
    <w:sdtEndPr>
      <w:rPr>
        <w:rStyle w:val="PageNumber"/>
      </w:rPr>
    </w:sdtEndPr>
    <w:sdtContent>
      <w:p w14:paraId="18EFF4CD" w14:textId="3497411D" w:rsidR="00260995" w:rsidRDefault="00260995" w:rsidP="00453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56971C" w14:textId="77777777" w:rsidR="00260995" w:rsidRDefault="00260995" w:rsidP="00077B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2826689"/>
      <w:docPartObj>
        <w:docPartGallery w:val="Page Numbers (Bottom of Page)"/>
        <w:docPartUnique/>
      </w:docPartObj>
    </w:sdtPr>
    <w:sdtEndPr>
      <w:rPr>
        <w:rStyle w:val="PageNumber"/>
      </w:rPr>
    </w:sdtEndPr>
    <w:sdtContent>
      <w:p w14:paraId="5DB21751" w14:textId="4C62869F" w:rsidR="00260995" w:rsidRDefault="00260995" w:rsidP="004536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6C241B" w14:textId="77777777" w:rsidR="00260995" w:rsidRDefault="00260995" w:rsidP="00077B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86816" w14:textId="77777777" w:rsidR="001518D5" w:rsidRDefault="001518D5" w:rsidP="0038258E">
      <w:pPr>
        <w:spacing w:after="0" w:line="240" w:lineRule="auto"/>
      </w:pPr>
      <w:r>
        <w:separator/>
      </w:r>
    </w:p>
  </w:footnote>
  <w:footnote w:type="continuationSeparator" w:id="0">
    <w:p w14:paraId="437FC14D" w14:textId="77777777" w:rsidR="001518D5" w:rsidRDefault="001518D5" w:rsidP="0038258E">
      <w:pPr>
        <w:spacing w:after="0" w:line="240" w:lineRule="auto"/>
      </w:pPr>
      <w:r>
        <w:continuationSeparator/>
      </w:r>
    </w:p>
  </w:footnote>
  <w:footnote w:id="1">
    <w:p w14:paraId="16CBE385" w14:textId="0C5BFCF4" w:rsidR="00260995" w:rsidRDefault="00260995" w:rsidP="0038258E">
      <w:pPr>
        <w:pStyle w:val="FootnoteText"/>
      </w:pPr>
      <w:r>
        <w:rPr>
          <w:rStyle w:val="FootnoteReference"/>
        </w:rPr>
        <w:footnoteRef/>
      </w:r>
      <w:r>
        <w:t xml:space="preserve"> Following the tradition established in the literature, we define an innovation as a policy that is new to that state, even the policy was developed elsewhere (Eyestone 1972; Walker 1969). </w:t>
      </w:r>
    </w:p>
  </w:footnote>
  <w:footnote w:id="2">
    <w:p w14:paraId="31D33476" w14:textId="74AC25B5" w:rsidR="00260995" w:rsidRDefault="00260995">
      <w:pPr>
        <w:pStyle w:val="FootnoteText"/>
      </w:pPr>
      <w:r>
        <w:rPr>
          <w:rStyle w:val="FootnoteReference"/>
        </w:rPr>
        <w:footnoteRef/>
      </w:r>
      <w:r>
        <w:t xml:space="preserve"> We note these are not the only dynamics studied by scholars, as there is a robust debate on how to best develop and operationalize state policy diffusion mechanisms (see LaCombe and Boehmke 2020 for comprehensive reviews). </w:t>
      </w:r>
    </w:p>
  </w:footnote>
  <w:footnote w:id="3">
    <w:p w14:paraId="6E976A34" w14:textId="7F715A7B" w:rsidR="00260995" w:rsidRDefault="00260995" w:rsidP="0038258E">
      <w:pPr>
        <w:pStyle w:val="FootnoteText"/>
      </w:pPr>
      <w:r>
        <w:rPr>
          <w:rStyle w:val="FootnoteReference"/>
        </w:rPr>
        <w:footnoteRef/>
      </w:r>
      <w:r>
        <w:t xml:space="preserve"> See figure 1 for the distribution of broadband subscription rates across the states at different time points.</w:t>
      </w:r>
    </w:p>
  </w:footnote>
  <w:footnote w:id="4">
    <w:p w14:paraId="376976FE" w14:textId="4E525DB2" w:rsidR="00260995" w:rsidRDefault="00260995" w:rsidP="0038258E">
      <w:pPr>
        <w:pStyle w:val="FootnoteText"/>
      </w:pPr>
      <w:r>
        <w:rPr>
          <w:rStyle w:val="FootnoteReference"/>
        </w:rPr>
        <w:footnoteRef/>
      </w:r>
      <w:r>
        <w:t xml:space="preserve"> See </w:t>
      </w:r>
      <w:r w:rsidR="00F74329">
        <w:t>supplemental material</w:t>
      </w:r>
      <w:r>
        <w:t xml:space="preserve"> of summary statistics and graph on the number of observations and adoptions per year. </w:t>
      </w:r>
    </w:p>
  </w:footnote>
  <w:footnote w:id="5">
    <w:p w14:paraId="6406C257" w14:textId="7EDE015B" w:rsidR="00260995" w:rsidRDefault="00260995" w:rsidP="0038258E">
      <w:pPr>
        <w:pStyle w:val="FootnoteText"/>
      </w:pPr>
      <w:r>
        <w:rPr>
          <w:rStyle w:val="FootnoteReference"/>
        </w:rPr>
        <w:footnoteRef/>
      </w:r>
      <w:r>
        <w:t xml:space="preserve"> See </w:t>
      </w:r>
      <w:r w:rsidR="00F74329">
        <w:t>supplemental material</w:t>
      </w:r>
      <w:r>
        <w:t xml:space="preserve"> for example of question wording for broadband.</w:t>
      </w:r>
    </w:p>
  </w:footnote>
  <w:footnote w:id="6">
    <w:p w14:paraId="725A7C2A" w14:textId="77777777" w:rsidR="00260995" w:rsidRDefault="00260995" w:rsidP="0038258E">
      <w:pPr>
        <w:pStyle w:val="FootnoteText"/>
      </w:pPr>
      <w:r>
        <w:rPr>
          <w:rStyle w:val="FootnoteReference"/>
        </w:rPr>
        <w:footnoteRef/>
      </w:r>
      <w:r>
        <w:t xml:space="preserve"> As a robustness check we estimated models with fixed effects for policy and our findings remain the same. Broadband remains a powerful predictor of innovation and moderates the effect of contiguity in this specification.</w:t>
      </w:r>
    </w:p>
  </w:footnote>
  <w:footnote w:id="7">
    <w:p w14:paraId="145A3B11" w14:textId="77777777" w:rsidR="00260995" w:rsidRDefault="00260995" w:rsidP="0038258E">
      <w:pPr>
        <w:pStyle w:val="FootnoteText"/>
      </w:pPr>
      <w:r>
        <w:rPr>
          <w:rStyle w:val="FootnoteReference"/>
        </w:rPr>
        <w:footnoteRef/>
      </w:r>
      <w:r>
        <w:t xml:space="preserve"> We also estimated parallel models with Bowen and Greene’s (2014) measures for legislative professionalism. The model conclusions are unchanged.</w:t>
      </w:r>
    </w:p>
  </w:footnote>
  <w:footnote w:id="8">
    <w:p w14:paraId="6498AC8D" w14:textId="186978A0" w:rsidR="00260995" w:rsidRDefault="00260995" w:rsidP="0038258E">
      <w:pPr>
        <w:pStyle w:val="FootnoteText"/>
      </w:pPr>
      <w:r>
        <w:rPr>
          <w:rStyle w:val="FootnoteReference"/>
        </w:rPr>
        <w:footnoteRef/>
      </w:r>
      <w:r>
        <w:t xml:space="preserve"> We tried controlling for the size of the Latino population in a county and the results were unchanged</w:t>
      </w:r>
      <w:r w:rsidR="002A21C7">
        <w:t>.</w:t>
      </w:r>
    </w:p>
  </w:footnote>
  <w:footnote w:id="9">
    <w:p w14:paraId="0C8C640F" w14:textId="77777777" w:rsidR="00260995" w:rsidRDefault="00260995" w:rsidP="0038258E">
      <w:pPr>
        <w:pStyle w:val="FootnoteText"/>
      </w:pPr>
      <w:r>
        <w:rPr>
          <w:rStyle w:val="FootnoteReference"/>
        </w:rPr>
        <w:footnoteRef/>
      </w:r>
      <w:r>
        <w:t xml:space="preserve"> We estimated models with and without year fixed effects and the cubic polynomial and found broadband to have the same relationship with adoption in both significance and direction across models. </w:t>
      </w:r>
    </w:p>
  </w:footnote>
  <w:footnote w:id="10">
    <w:p w14:paraId="00E75730" w14:textId="77777777" w:rsidR="00260995" w:rsidRDefault="00260995" w:rsidP="0038258E">
      <w:pPr>
        <w:pStyle w:val="FootnoteText"/>
      </w:pPr>
      <w:r>
        <w:rPr>
          <w:rStyle w:val="FootnoteReference"/>
        </w:rPr>
        <w:footnoteRef/>
      </w:r>
      <w:r>
        <w:t xml:space="preserve"> </w:t>
      </w:r>
      <w:r w:rsidRPr="00F76EA6">
        <w:t>While sing</w:t>
      </w:r>
      <w:r>
        <w:t>l</w:t>
      </w:r>
      <w:r w:rsidRPr="00F76EA6">
        <w:t>e policy studies have often found legislative professionalism to positively predict innovation (Berry 1994; Shipan and Volden 2006) multiple policy analyses (Mallinson 2019; Bricker and LaCombe 2020) find legislative professionalism is negatively associated with innovation.</w:t>
      </w:r>
    </w:p>
  </w:footnote>
  <w:footnote w:id="11">
    <w:p w14:paraId="05F25072" w14:textId="06F88449" w:rsidR="008C285D" w:rsidRPr="008C285D" w:rsidRDefault="008C285D" w:rsidP="008C285D">
      <w:pPr>
        <w:spacing w:after="0" w:line="240" w:lineRule="auto"/>
        <w:rPr>
          <w:sz w:val="20"/>
          <w:szCs w:val="20"/>
        </w:rPr>
      </w:pPr>
      <w:r>
        <w:rPr>
          <w:rStyle w:val="FootnoteReference"/>
        </w:rPr>
        <w:footnoteRef/>
      </w:r>
      <w:r>
        <w:t xml:space="preserve"> </w:t>
      </w:r>
      <w:r w:rsidRPr="008C285D">
        <w:rPr>
          <w:sz w:val="20"/>
          <w:szCs w:val="20"/>
        </w:rPr>
        <w:t>A</w:t>
      </w:r>
      <w:r>
        <w:rPr>
          <w:sz w:val="20"/>
          <w:szCs w:val="20"/>
        </w:rPr>
        <w:t xml:space="preserve"> potential concern is that broadband’s positive effect is </w:t>
      </w:r>
      <w:r w:rsidR="002A21C7">
        <w:rPr>
          <w:sz w:val="20"/>
          <w:szCs w:val="20"/>
        </w:rPr>
        <w:t>due to new types of policies being adopted in the last 20 years or different policy characteristic</w:t>
      </w:r>
      <w:r>
        <w:rPr>
          <w:sz w:val="20"/>
          <w:szCs w:val="20"/>
        </w:rPr>
        <w:t xml:space="preserve">. Perhaps the policies being adopted </w:t>
      </w:r>
      <w:r w:rsidR="002A21C7">
        <w:rPr>
          <w:sz w:val="20"/>
          <w:szCs w:val="20"/>
        </w:rPr>
        <w:t>since 2000</w:t>
      </w:r>
      <w:r>
        <w:rPr>
          <w:sz w:val="20"/>
          <w:szCs w:val="20"/>
        </w:rPr>
        <w:t xml:space="preserve"> are more partisan than earlier eras, leading to changing policy characteristics, not broadband, leading to increased innovation. In addition to including a measure of the ideological distance between states,</w:t>
      </w:r>
      <w:r w:rsidRPr="008C285D">
        <w:rPr>
          <w:sz w:val="20"/>
          <w:szCs w:val="20"/>
        </w:rPr>
        <w:t xml:space="preserve"> we also subsampled our analysis to only include policies that we clearly non-ideological to test of partisan polarization is driving our results rather than broadband. We estimate the same models on only policies from the Uniform Law Commission, an organization that produces non-partisan model legislation. Our results hold for in terms of direction and significance for all our hypotheses.</w:t>
      </w:r>
      <w:r>
        <w:rPr>
          <w:sz w:val="20"/>
          <w:szCs w:val="20"/>
        </w:rPr>
        <w:t xml:space="preserve"> These robustness checks increase our confidence that broadband is leading to higher rates of policy innovation.</w:t>
      </w:r>
    </w:p>
    <w:p w14:paraId="63660919" w14:textId="3C04E062" w:rsidR="008C285D" w:rsidRDefault="008C285D">
      <w:pPr>
        <w:pStyle w:val="FootnoteText"/>
      </w:pPr>
    </w:p>
  </w:footnote>
  <w:footnote w:id="12">
    <w:p w14:paraId="460887B5" w14:textId="77777777" w:rsidR="00260995" w:rsidRDefault="00260995" w:rsidP="0038258E">
      <w:pPr>
        <w:pStyle w:val="FootnoteText"/>
      </w:pPr>
      <w:r>
        <w:rPr>
          <w:rStyle w:val="FootnoteReference"/>
        </w:rPr>
        <w:footnoteRef/>
      </w:r>
      <w:r>
        <w:t xml:space="preserve"> Source: American Community Survey and </w:t>
      </w:r>
      <w:r w:rsidRPr="00882E9A">
        <w:t>Current Population Survey</w:t>
      </w:r>
    </w:p>
  </w:footnote>
  <w:footnote w:id="13">
    <w:p w14:paraId="504AF83B" w14:textId="3BFDE147" w:rsidR="00260995" w:rsidRDefault="00260995" w:rsidP="0038258E">
      <w:pPr>
        <w:pStyle w:val="FootnoteText"/>
      </w:pPr>
      <w:r>
        <w:rPr>
          <w:rStyle w:val="FootnoteReference"/>
        </w:rPr>
        <w:footnoteRef/>
      </w:r>
      <w:r>
        <w:t xml:space="preserve"> Predicted probabilities are generated from the fixed component of the model and reflect the averaged random effects. Fixed effects are included for year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C4FF5"/>
    <w:multiLevelType w:val="hybridMultilevel"/>
    <w:tmpl w:val="734A3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21BB2"/>
    <w:multiLevelType w:val="hybridMultilevel"/>
    <w:tmpl w:val="40207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2A355A"/>
    <w:multiLevelType w:val="hybridMultilevel"/>
    <w:tmpl w:val="9FB8E870"/>
    <w:lvl w:ilvl="0" w:tplc="0316DCD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4D09D9"/>
    <w:multiLevelType w:val="hybridMultilevel"/>
    <w:tmpl w:val="3CEEE314"/>
    <w:lvl w:ilvl="0" w:tplc="2884C16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F5B1BD6"/>
    <w:multiLevelType w:val="hybridMultilevel"/>
    <w:tmpl w:val="2F10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8E"/>
    <w:rsid w:val="000124F1"/>
    <w:rsid w:val="000200A6"/>
    <w:rsid w:val="00022D66"/>
    <w:rsid w:val="0002435E"/>
    <w:rsid w:val="000267AA"/>
    <w:rsid w:val="00063552"/>
    <w:rsid w:val="00077169"/>
    <w:rsid w:val="00077B8C"/>
    <w:rsid w:val="000836B1"/>
    <w:rsid w:val="000A58DE"/>
    <w:rsid w:val="000B400A"/>
    <w:rsid w:val="000C6DCB"/>
    <w:rsid w:val="000D4C17"/>
    <w:rsid w:val="000D7586"/>
    <w:rsid w:val="000F2C8B"/>
    <w:rsid w:val="00107EAE"/>
    <w:rsid w:val="00126A78"/>
    <w:rsid w:val="001451BE"/>
    <w:rsid w:val="00147AED"/>
    <w:rsid w:val="001518D5"/>
    <w:rsid w:val="00161BD7"/>
    <w:rsid w:val="001729C7"/>
    <w:rsid w:val="001811F3"/>
    <w:rsid w:val="00182896"/>
    <w:rsid w:val="00192AD1"/>
    <w:rsid w:val="001C0A1E"/>
    <w:rsid w:val="001C6E36"/>
    <w:rsid w:val="001E385B"/>
    <w:rsid w:val="001E414E"/>
    <w:rsid w:val="00210574"/>
    <w:rsid w:val="00214793"/>
    <w:rsid w:val="002214B4"/>
    <w:rsid w:val="002316B6"/>
    <w:rsid w:val="00236528"/>
    <w:rsid w:val="002501CC"/>
    <w:rsid w:val="00260995"/>
    <w:rsid w:val="002679FA"/>
    <w:rsid w:val="002738C7"/>
    <w:rsid w:val="002A21C7"/>
    <w:rsid w:val="002A76DD"/>
    <w:rsid w:val="002D737E"/>
    <w:rsid w:val="002E7351"/>
    <w:rsid w:val="002F055D"/>
    <w:rsid w:val="00304917"/>
    <w:rsid w:val="00352A02"/>
    <w:rsid w:val="00355ECF"/>
    <w:rsid w:val="00362F0C"/>
    <w:rsid w:val="003650AD"/>
    <w:rsid w:val="0038258E"/>
    <w:rsid w:val="003A1AE6"/>
    <w:rsid w:val="003A5C3F"/>
    <w:rsid w:val="003A7BD0"/>
    <w:rsid w:val="003B27DF"/>
    <w:rsid w:val="003B2FA4"/>
    <w:rsid w:val="003B582C"/>
    <w:rsid w:val="003B652D"/>
    <w:rsid w:val="003D7F82"/>
    <w:rsid w:val="003E1143"/>
    <w:rsid w:val="003E6B61"/>
    <w:rsid w:val="0045365C"/>
    <w:rsid w:val="00471D98"/>
    <w:rsid w:val="00484869"/>
    <w:rsid w:val="004848FD"/>
    <w:rsid w:val="00494D7E"/>
    <w:rsid w:val="004D721F"/>
    <w:rsid w:val="004F7D57"/>
    <w:rsid w:val="00527A18"/>
    <w:rsid w:val="00541889"/>
    <w:rsid w:val="00546BFD"/>
    <w:rsid w:val="00553455"/>
    <w:rsid w:val="00556C39"/>
    <w:rsid w:val="00561C3B"/>
    <w:rsid w:val="005728D0"/>
    <w:rsid w:val="00580B87"/>
    <w:rsid w:val="00580F47"/>
    <w:rsid w:val="00586526"/>
    <w:rsid w:val="00587B6D"/>
    <w:rsid w:val="00593DBF"/>
    <w:rsid w:val="005F2D62"/>
    <w:rsid w:val="005F446E"/>
    <w:rsid w:val="0060427C"/>
    <w:rsid w:val="00647FA7"/>
    <w:rsid w:val="00651396"/>
    <w:rsid w:val="00652F9E"/>
    <w:rsid w:val="00657AA1"/>
    <w:rsid w:val="00680969"/>
    <w:rsid w:val="006E1003"/>
    <w:rsid w:val="0070710E"/>
    <w:rsid w:val="00715579"/>
    <w:rsid w:val="00734EF5"/>
    <w:rsid w:val="00753D8E"/>
    <w:rsid w:val="007737F8"/>
    <w:rsid w:val="007764F7"/>
    <w:rsid w:val="00783E66"/>
    <w:rsid w:val="00790B92"/>
    <w:rsid w:val="00792713"/>
    <w:rsid w:val="00793745"/>
    <w:rsid w:val="007F1B3A"/>
    <w:rsid w:val="008026A5"/>
    <w:rsid w:val="008033FD"/>
    <w:rsid w:val="008039EC"/>
    <w:rsid w:val="00821D84"/>
    <w:rsid w:val="00830C40"/>
    <w:rsid w:val="00860A69"/>
    <w:rsid w:val="00867411"/>
    <w:rsid w:val="00883508"/>
    <w:rsid w:val="00887501"/>
    <w:rsid w:val="008A0891"/>
    <w:rsid w:val="008A4902"/>
    <w:rsid w:val="008A60AB"/>
    <w:rsid w:val="008B5E38"/>
    <w:rsid w:val="008C285D"/>
    <w:rsid w:val="008E2299"/>
    <w:rsid w:val="008E3E00"/>
    <w:rsid w:val="008E78F8"/>
    <w:rsid w:val="00907B6E"/>
    <w:rsid w:val="00927140"/>
    <w:rsid w:val="00943D15"/>
    <w:rsid w:val="009443D9"/>
    <w:rsid w:val="00951681"/>
    <w:rsid w:val="00952609"/>
    <w:rsid w:val="00956549"/>
    <w:rsid w:val="00990A37"/>
    <w:rsid w:val="009B336C"/>
    <w:rsid w:val="009B601C"/>
    <w:rsid w:val="009D0AD2"/>
    <w:rsid w:val="009D307A"/>
    <w:rsid w:val="009E2A01"/>
    <w:rsid w:val="009F689D"/>
    <w:rsid w:val="00A24AC7"/>
    <w:rsid w:val="00A24F4D"/>
    <w:rsid w:val="00A5606F"/>
    <w:rsid w:val="00A8660D"/>
    <w:rsid w:val="00AB0D0B"/>
    <w:rsid w:val="00AB3532"/>
    <w:rsid w:val="00B1559B"/>
    <w:rsid w:val="00B41E9C"/>
    <w:rsid w:val="00B56AAD"/>
    <w:rsid w:val="00B626AF"/>
    <w:rsid w:val="00B647DF"/>
    <w:rsid w:val="00B66473"/>
    <w:rsid w:val="00B86784"/>
    <w:rsid w:val="00B91200"/>
    <w:rsid w:val="00B97599"/>
    <w:rsid w:val="00BB1325"/>
    <w:rsid w:val="00BC0638"/>
    <w:rsid w:val="00BC0E6E"/>
    <w:rsid w:val="00BC6CBB"/>
    <w:rsid w:val="00BC6E55"/>
    <w:rsid w:val="00BF6BF3"/>
    <w:rsid w:val="00C05A21"/>
    <w:rsid w:val="00C37528"/>
    <w:rsid w:val="00C432FD"/>
    <w:rsid w:val="00C45E3C"/>
    <w:rsid w:val="00C46328"/>
    <w:rsid w:val="00C72835"/>
    <w:rsid w:val="00CD31D9"/>
    <w:rsid w:val="00D07381"/>
    <w:rsid w:val="00D07B39"/>
    <w:rsid w:val="00D10582"/>
    <w:rsid w:val="00D227FB"/>
    <w:rsid w:val="00D26EEB"/>
    <w:rsid w:val="00D4196C"/>
    <w:rsid w:val="00D42EF9"/>
    <w:rsid w:val="00D56A90"/>
    <w:rsid w:val="00D74160"/>
    <w:rsid w:val="00D76B3D"/>
    <w:rsid w:val="00D85934"/>
    <w:rsid w:val="00DB118D"/>
    <w:rsid w:val="00E05767"/>
    <w:rsid w:val="00E21182"/>
    <w:rsid w:val="00E25CF5"/>
    <w:rsid w:val="00E36D4E"/>
    <w:rsid w:val="00E472E8"/>
    <w:rsid w:val="00E9496B"/>
    <w:rsid w:val="00E9608E"/>
    <w:rsid w:val="00EA193B"/>
    <w:rsid w:val="00EB1E27"/>
    <w:rsid w:val="00EB3A30"/>
    <w:rsid w:val="00EC2CD7"/>
    <w:rsid w:val="00EE44F3"/>
    <w:rsid w:val="00EE76F7"/>
    <w:rsid w:val="00EF14D0"/>
    <w:rsid w:val="00F00458"/>
    <w:rsid w:val="00F03A36"/>
    <w:rsid w:val="00F148BC"/>
    <w:rsid w:val="00F45B00"/>
    <w:rsid w:val="00F56EBB"/>
    <w:rsid w:val="00F65432"/>
    <w:rsid w:val="00F74329"/>
    <w:rsid w:val="00F76731"/>
    <w:rsid w:val="00F97D32"/>
    <w:rsid w:val="00FA338C"/>
    <w:rsid w:val="00FC00F8"/>
    <w:rsid w:val="00FC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665B"/>
  <w15:chartTrackingRefBased/>
  <w15:docId w15:val="{A290C95D-A834-4051-9572-2CE55D40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58E"/>
    <w:pPr>
      <w:spacing w:after="120" w:line="480" w:lineRule="auto"/>
    </w:pPr>
    <w:rPr>
      <w:rFonts w:ascii="Times New Roman" w:hAnsi="Times New Roman" w:cs="Times New Roman"/>
      <w:sz w:val="24"/>
      <w:szCs w:val="24"/>
    </w:rPr>
  </w:style>
  <w:style w:type="paragraph" w:styleId="Heading1">
    <w:name w:val="heading 1"/>
    <w:basedOn w:val="Normal"/>
    <w:link w:val="Heading1Char"/>
    <w:uiPriority w:val="9"/>
    <w:qFormat/>
    <w:rsid w:val="0038258E"/>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3825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5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8258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8258E"/>
    <w:pPr>
      <w:ind w:left="720"/>
      <w:contextualSpacing/>
    </w:pPr>
  </w:style>
  <w:style w:type="character" w:styleId="Hyperlink">
    <w:name w:val="Hyperlink"/>
    <w:basedOn w:val="DefaultParagraphFont"/>
    <w:uiPriority w:val="99"/>
    <w:unhideWhenUsed/>
    <w:rsid w:val="0038258E"/>
    <w:rPr>
      <w:color w:val="0563C1" w:themeColor="hyperlink"/>
      <w:u w:val="single"/>
    </w:rPr>
  </w:style>
  <w:style w:type="paragraph" w:styleId="NormalWeb">
    <w:name w:val="Normal (Web)"/>
    <w:basedOn w:val="Normal"/>
    <w:uiPriority w:val="99"/>
    <w:unhideWhenUsed/>
    <w:rsid w:val="0038258E"/>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382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58E"/>
    <w:rPr>
      <w:rFonts w:ascii="Segoe UI" w:hAnsi="Segoe UI" w:cs="Segoe UI"/>
      <w:sz w:val="18"/>
      <w:szCs w:val="18"/>
    </w:rPr>
  </w:style>
  <w:style w:type="paragraph" w:styleId="FootnoteText">
    <w:name w:val="footnote text"/>
    <w:basedOn w:val="Normal"/>
    <w:link w:val="FootnoteTextChar"/>
    <w:uiPriority w:val="99"/>
    <w:semiHidden/>
    <w:unhideWhenUsed/>
    <w:rsid w:val="003825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58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38258E"/>
    <w:rPr>
      <w:vertAlign w:val="superscript"/>
    </w:rPr>
  </w:style>
  <w:style w:type="paragraph" w:styleId="Header">
    <w:name w:val="header"/>
    <w:basedOn w:val="Normal"/>
    <w:link w:val="HeaderChar"/>
    <w:uiPriority w:val="99"/>
    <w:unhideWhenUsed/>
    <w:rsid w:val="00382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58E"/>
    <w:rPr>
      <w:rFonts w:ascii="Times New Roman" w:hAnsi="Times New Roman" w:cs="Times New Roman"/>
      <w:sz w:val="24"/>
      <w:szCs w:val="24"/>
    </w:rPr>
  </w:style>
  <w:style w:type="paragraph" w:styleId="Footer">
    <w:name w:val="footer"/>
    <w:basedOn w:val="Normal"/>
    <w:link w:val="FooterChar"/>
    <w:uiPriority w:val="99"/>
    <w:unhideWhenUsed/>
    <w:rsid w:val="00382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58E"/>
    <w:rPr>
      <w:rFonts w:ascii="Times New Roman" w:hAnsi="Times New Roman" w:cs="Times New Roman"/>
      <w:sz w:val="24"/>
      <w:szCs w:val="24"/>
    </w:rPr>
  </w:style>
  <w:style w:type="character" w:styleId="Emphasis">
    <w:name w:val="Emphasis"/>
    <w:basedOn w:val="DefaultParagraphFont"/>
    <w:uiPriority w:val="20"/>
    <w:qFormat/>
    <w:rsid w:val="0038258E"/>
    <w:rPr>
      <w:i/>
      <w:iCs/>
    </w:rPr>
  </w:style>
  <w:style w:type="character" w:styleId="CommentReference">
    <w:name w:val="annotation reference"/>
    <w:basedOn w:val="DefaultParagraphFont"/>
    <w:uiPriority w:val="99"/>
    <w:semiHidden/>
    <w:unhideWhenUsed/>
    <w:rsid w:val="0038258E"/>
    <w:rPr>
      <w:sz w:val="16"/>
      <w:szCs w:val="16"/>
    </w:rPr>
  </w:style>
  <w:style w:type="paragraph" w:styleId="CommentText">
    <w:name w:val="annotation text"/>
    <w:basedOn w:val="Normal"/>
    <w:link w:val="CommentTextChar"/>
    <w:uiPriority w:val="99"/>
    <w:semiHidden/>
    <w:unhideWhenUsed/>
    <w:rsid w:val="0038258E"/>
    <w:pPr>
      <w:spacing w:line="240" w:lineRule="auto"/>
    </w:pPr>
    <w:rPr>
      <w:sz w:val="20"/>
      <w:szCs w:val="20"/>
    </w:rPr>
  </w:style>
  <w:style w:type="character" w:customStyle="1" w:styleId="CommentTextChar">
    <w:name w:val="Comment Text Char"/>
    <w:basedOn w:val="DefaultParagraphFont"/>
    <w:link w:val="CommentText"/>
    <w:uiPriority w:val="99"/>
    <w:semiHidden/>
    <w:rsid w:val="0038258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258E"/>
    <w:rPr>
      <w:b/>
      <w:bCs/>
    </w:rPr>
  </w:style>
  <w:style w:type="character" w:customStyle="1" w:styleId="CommentSubjectChar">
    <w:name w:val="Comment Subject Char"/>
    <w:basedOn w:val="CommentTextChar"/>
    <w:link w:val="CommentSubject"/>
    <w:uiPriority w:val="99"/>
    <w:semiHidden/>
    <w:rsid w:val="0038258E"/>
    <w:rPr>
      <w:rFonts w:ascii="Times New Roman" w:hAnsi="Times New Roman" w:cs="Times New Roman"/>
      <w:b/>
      <w:bCs/>
      <w:sz w:val="20"/>
      <w:szCs w:val="20"/>
    </w:rPr>
  </w:style>
  <w:style w:type="paragraph" w:styleId="Revision">
    <w:name w:val="Revision"/>
    <w:hidden/>
    <w:uiPriority w:val="99"/>
    <w:semiHidden/>
    <w:rsid w:val="0038258E"/>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8258E"/>
    <w:rPr>
      <w:color w:val="954F72" w:themeColor="followedHyperlink"/>
      <w:u w:val="single"/>
    </w:rPr>
  </w:style>
  <w:style w:type="character" w:styleId="UnresolvedMention">
    <w:name w:val="Unresolved Mention"/>
    <w:basedOn w:val="DefaultParagraphFont"/>
    <w:uiPriority w:val="99"/>
    <w:semiHidden/>
    <w:unhideWhenUsed/>
    <w:rsid w:val="0038258E"/>
    <w:rPr>
      <w:color w:val="605E5C"/>
      <w:shd w:val="clear" w:color="auto" w:fill="E1DFDD"/>
    </w:rPr>
  </w:style>
  <w:style w:type="character" w:customStyle="1" w:styleId="nlmyear">
    <w:name w:val="nlm_year"/>
    <w:basedOn w:val="DefaultParagraphFont"/>
    <w:rsid w:val="0038258E"/>
  </w:style>
  <w:style w:type="character" w:customStyle="1" w:styleId="nlmpublisher-loc">
    <w:name w:val="nlm_publisher-loc"/>
    <w:basedOn w:val="DefaultParagraphFont"/>
    <w:rsid w:val="0038258E"/>
  </w:style>
  <w:style w:type="character" w:customStyle="1" w:styleId="nlmpublisher-name">
    <w:name w:val="nlm_publisher-name"/>
    <w:basedOn w:val="DefaultParagraphFont"/>
    <w:rsid w:val="0038258E"/>
  </w:style>
  <w:style w:type="character" w:styleId="PageNumber">
    <w:name w:val="page number"/>
    <w:basedOn w:val="DefaultParagraphFont"/>
    <w:uiPriority w:val="99"/>
    <w:semiHidden/>
    <w:unhideWhenUsed/>
    <w:rsid w:val="00077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820895">
      <w:bodyDiv w:val="1"/>
      <w:marLeft w:val="0"/>
      <w:marRight w:val="0"/>
      <w:marTop w:val="0"/>
      <w:marBottom w:val="0"/>
      <w:divBdr>
        <w:top w:val="none" w:sz="0" w:space="0" w:color="auto"/>
        <w:left w:val="none" w:sz="0" w:space="0" w:color="auto"/>
        <w:bottom w:val="none" w:sz="0" w:space="0" w:color="auto"/>
        <w:right w:val="none" w:sz="0" w:space="0" w:color="auto"/>
      </w:divBdr>
    </w:div>
    <w:div w:id="21329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cdobserver.org/news/fullstory.php/aid/3908/Policymaking_and_the_information_revolutio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ntia.doc.gov/report/2017/national-broadband-research-agenda-key-priorities-broadband-research-and-dat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08635-7765-4AD7-9809-A832CA2A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29</Pages>
  <Words>7790</Words>
  <Characters>44405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 LaCombe</dc:creator>
  <cp:keywords/>
  <dc:description/>
  <cp:lastModifiedBy> </cp:lastModifiedBy>
  <cp:revision>114</cp:revision>
  <cp:lastPrinted>2020-10-28T15:49:00Z</cp:lastPrinted>
  <dcterms:created xsi:type="dcterms:W3CDTF">2020-11-25T00:13:00Z</dcterms:created>
  <dcterms:modified xsi:type="dcterms:W3CDTF">2021-01-05T16:33:00Z</dcterms:modified>
</cp:coreProperties>
</file>